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3D0236B9" w:rsidR="008D671A" w:rsidRDefault="002B7592" w:rsidP="008D671A">
      <w:pPr>
        <w:spacing w:before="120" w:after="120" w:line="360" w:lineRule="exact"/>
        <w:jc w:val="center"/>
        <w:rPr>
          <w:rFonts w:ascii="Arial" w:eastAsia="Times New Roman" w:hAnsi="Arial" w:cs="Arial"/>
          <w:b/>
          <w:bCs/>
          <w:u w:val="single"/>
          <w:lang w:val="es-ES_tradnl" w:eastAsia="es-ES"/>
        </w:rPr>
      </w:pPr>
      <w:bookmarkStart w:id="0" w:name="_GoBack"/>
      <w:bookmarkEnd w:id="0"/>
      <w:r w:rsidRPr="00F4353A">
        <w:rPr>
          <w:rFonts w:ascii="Arial" w:eastAsia="Times New Roman" w:hAnsi="Arial" w:cs="Arial"/>
          <w:b/>
          <w:bCs/>
          <w:u w:val="single"/>
          <w:lang w:val="es-ES_tradnl" w:eastAsia="es-ES"/>
        </w:rPr>
        <w:t xml:space="preserve">PROGRAMA </w:t>
      </w:r>
      <w:r w:rsidR="008C6CE2" w:rsidRPr="008C6CE2">
        <w:rPr>
          <w:rFonts w:ascii="Arial" w:eastAsia="Times New Roman" w:hAnsi="Arial" w:cs="Arial"/>
          <w:b/>
          <w:bCs/>
          <w:u w:val="single"/>
          <w:lang w:val="es-ES_tradnl" w:eastAsia="es-ES"/>
        </w:rPr>
        <w:t>46OG</w:t>
      </w:r>
    </w:p>
    <w:p w14:paraId="6568F7D2" w14:textId="0647630D" w:rsidR="00284F5A" w:rsidRDefault="00906F98" w:rsidP="0068401E">
      <w:pPr>
        <w:spacing w:before="600" w:after="120" w:line="360" w:lineRule="exac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C15</w:t>
      </w:r>
      <w:r w:rsidR="00F47E35">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I7 CIBERSEGURIDAD</w:t>
      </w:r>
      <w:r w:rsidR="00284F5A" w:rsidRPr="00284F5A">
        <w:rPr>
          <w:rFonts w:ascii="Arial" w:eastAsia="Times New Roman" w:hAnsi="Arial" w:cs="Arial"/>
          <w:b/>
          <w:bCs/>
          <w:u w:val="single"/>
          <w:lang w:val="es-ES_tradnl" w:eastAsia="es-ES"/>
        </w:rPr>
        <w:t>: F</w:t>
      </w:r>
      <w:r>
        <w:rPr>
          <w:rFonts w:ascii="Arial" w:eastAsia="Times New Roman" w:hAnsi="Arial" w:cs="Arial"/>
          <w:b/>
          <w:bCs/>
          <w:u w:val="single"/>
          <w:lang w:val="es-ES_tradnl" w:eastAsia="es-ES"/>
        </w:rPr>
        <w:t>ORTALECIMIENTO DE LAS CAPACIDADES DE CIUDADANOS,</w:t>
      </w:r>
      <w:r w:rsidR="00284F5A" w:rsidRPr="00284F5A">
        <w:rPr>
          <w:rFonts w:ascii="Arial" w:eastAsia="Times New Roman" w:hAnsi="Arial" w:cs="Arial"/>
          <w:b/>
          <w:bCs/>
          <w:u w:val="single"/>
          <w:lang w:val="es-ES_tradnl" w:eastAsia="es-ES"/>
        </w:rPr>
        <w:t xml:space="preserve"> PYMES </w:t>
      </w:r>
      <w:r>
        <w:rPr>
          <w:rFonts w:ascii="Arial" w:eastAsia="Times New Roman" w:hAnsi="Arial" w:cs="Arial"/>
          <w:b/>
          <w:bCs/>
          <w:u w:val="single"/>
          <w:lang w:val="es-ES_tradnl" w:eastAsia="es-ES"/>
        </w:rPr>
        <w:t>Y PROFESIONALES</w:t>
      </w:r>
      <w:r w:rsidR="00284F5A" w:rsidRPr="00284F5A">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E IMPULSO DEL ECOSISTEMA DEL SECTOR</w:t>
      </w:r>
    </w:p>
    <w:p w14:paraId="1E07B828" w14:textId="05FF6F4C" w:rsidR="007061EE" w:rsidRPr="007061EE" w:rsidRDefault="000975A3" w:rsidP="00E064CB">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szCs w:val="20"/>
          <w:lang w:val="es-ES_tradnl" w:eastAsia="es-ES"/>
        </w:rPr>
      </w:pPr>
      <w:r w:rsidRPr="002C6677">
        <w:rPr>
          <w:rFonts w:ascii="Arial" w:eastAsia="Times New Roman" w:hAnsi="Arial" w:cs="Arial"/>
          <w:b/>
          <w:bCs/>
          <w:szCs w:val="20"/>
          <w:lang w:val="es-ES_tradnl" w:eastAsia="es-ES"/>
        </w:rPr>
        <w:t>D</w:t>
      </w:r>
      <w:r w:rsidR="00906F98">
        <w:rPr>
          <w:rFonts w:ascii="Arial" w:eastAsia="Times New Roman" w:hAnsi="Arial" w:cs="Arial"/>
          <w:b/>
          <w:bCs/>
          <w:szCs w:val="20"/>
          <w:lang w:val="es-ES_tradnl" w:eastAsia="es-ES"/>
        </w:rPr>
        <w:t>ENOMINACIÓN DEL COMPONENTE</w:t>
      </w:r>
    </w:p>
    <w:p w14:paraId="634D9F86" w14:textId="7BAFAA02" w:rsidR="00284F5A" w:rsidRDefault="00284F5A" w:rsidP="00E064CB">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r w:rsidRPr="00284F5A">
        <w:rPr>
          <w:rFonts w:ascii="Arial" w:eastAsia="Times New Roman" w:hAnsi="Arial" w:cs="Arial"/>
          <w:bCs/>
          <w:szCs w:val="20"/>
          <w:lang w:val="es-ES_tradnl" w:eastAsia="es-ES"/>
        </w:rPr>
        <w:t>Conectividad digital, impulso a la ciberseguridad y despliegue del 5G</w:t>
      </w:r>
      <w:r w:rsidR="00F47E35">
        <w:rPr>
          <w:rFonts w:ascii="Arial" w:eastAsia="Times New Roman" w:hAnsi="Arial" w:cs="Arial"/>
          <w:bCs/>
          <w:szCs w:val="20"/>
          <w:lang w:val="es-ES_tradnl" w:eastAsia="es-ES"/>
        </w:rPr>
        <w:t>.</w:t>
      </w:r>
      <w:r w:rsidRPr="006F7143">
        <w:rPr>
          <w:rFonts w:ascii="Arial" w:eastAsia="Times New Roman" w:hAnsi="Arial" w:cs="Arial"/>
          <w:bCs/>
          <w:szCs w:val="20"/>
          <w:lang w:val="es-ES_tradnl" w:eastAsia="es-ES"/>
        </w:rPr>
        <w:t xml:space="preserve"> </w:t>
      </w:r>
    </w:p>
    <w:p w14:paraId="6B820FE9" w14:textId="4E3E697E" w:rsidR="002B7592" w:rsidRDefault="000975A3" w:rsidP="000917B5">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szCs w:val="20"/>
          <w:lang w:val="es-ES_tradnl" w:eastAsia="es-ES"/>
        </w:rPr>
      </w:pPr>
      <w:r>
        <w:rPr>
          <w:rFonts w:ascii="Arial" w:eastAsia="Times New Roman" w:hAnsi="Arial" w:cs="Arial"/>
          <w:b/>
          <w:bCs/>
          <w:szCs w:val="20"/>
          <w:lang w:val="es-ES_tradnl" w:eastAsia="es-ES"/>
        </w:rPr>
        <w:t>D</w:t>
      </w:r>
      <w:r w:rsidR="00906F98">
        <w:rPr>
          <w:rFonts w:ascii="Arial" w:eastAsia="Times New Roman" w:hAnsi="Arial" w:cs="Arial"/>
          <w:b/>
          <w:bCs/>
          <w:szCs w:val="20"/>
          <w:lang w:val="es-ES_tradnl" w:eastAsia="es-ES"/>
        </w:rPr>
        <w:t>ESCRIPCIÓN GENERAL DEL COMPONENTE</w:t>
      </w:r>
    </w:p>
    <w:p w14:paraId="71D1424C" w14:textId="77777777" w:rsidR="00284F5A" w:rsidRPr="00284F5A" w:rsidRDefault="00284F5A" w:rsidP="00E064C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284F5A">
        <w:rPr>
          <w:rFonts w:ascii="Arial" w:eastAsia="Times New Roman" w:hAnsi="Arial" w:cs="Arial"/>
          <w:bCs/>
          <w:szCs w:val="20"/>
          <w:lang w:val="es-ES_tradnl" w:eastAsia="es-ES"/>
        </w:rPr>
        <w:t>La conectividad digital es un factor esencial para el desarrollo de la actividad económica, el aumento de la productividad, el impulso de la innovación y la cohesión territorial y social. El acceso a las redes digitales es cada vez más necesario para poder acceder a los servicios públicos, ejercer actividades económicas y participar activamente en la sociedad.</w:t>
      </w:r>
    </w:p>
    <w:p w14:paraId="673D4518" w14:textId="77777777" w:rsidR="00284F5A" w:rsidRDefault="00284F5A" w:rsidP="00E064C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284F5A">
        <w:rPr>
          <w:rFonts w:ascii="Arial" w:eastAsia="Times New Roman" w:hAnsi="Arial" w:cs="Arial"/>
          <w:bCs/>
          <w:szCs w:val="20"/>
          <w:lang w:val="es-ES_tradnl" w:eastAsia="es-ES"/>
        </w:rPr>
        <w:t xml:space="preserve">Este componente del Plan de Recuperación, Transformación y Resiliencia español aborda los retos de la conectividad a la hora de lograr la cobertura de redes fijas ultrarrápidas, con más de 100 Mbps/s, y de la red 5G en España, en particular, en las zonas rurales y en los corredores de transporte transfronterizos clave. Desde la perspectiva de la ciberseguridad, el principal reto que aborda el componente es crear un entorno fiable y seguro para que los ciudadanos y las empresas contribuyan al proceso de digitalización e hiperconectividad asociado a la aplicación de la tecnología 5G y a los servicios que esta última propiciará, como las aplicaciones relacionadas con el internet de las cosas. </w:t>
      </w:r>
    </w:p>
    <w:p w14:paraId="3266318F" w14:textId="25DF2D24" w:rsidR="00CC6D8C" w:rsidRDefault="000975A3" w:rsidP="000917B5">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P</w:t>
      </w:r>
      <w:r w:rsidR="00906F98">
        <w:rPr>
          <w:rFonts w:ascii="Arial" w:hAnsi="Arial" w:cs="Arial"/>
          <w:b/>
        </w:rPr>
        <w:t>RINCIPALES OBJETIVOS DEL COMPONENTE</w:t>
      </w:r>
    </w:p>
    <w:p w14:paraId="5F9D48A7" w14:textId="77777777" w:rsidR="00284F5A" w:rsidRPr="00E064CB" w:rsidRDefault="00284F5A" w:rsidP="00E064CB">
      <w:pPr>
        <w:pStyle w:val="Prrafodelista"/>
        <w:tabs>
          <w:tab w:val="left" w:pos="567"/>
        </w:tabs>
        <w:spacing w:before="120" w:after="120" w:line="360" w:lineRule="exact"/>
        <w:ind w:left="0" w:firstLine="1134"/>
        <w:contextualSpacing w:val="0"/>
        <w:rPr>
          <w:rFonts w:ascii="Arial" w:hAnsi="Arial" w:cs="Arial"/>
        </w:rPr>
      </w:pPr>
      <w:r w:rsidRPr="00E064CB">
        <w:rPr>
          <w:rFonts w:ascii="Arial" w:hAnsi="Arial" w:cs="Arial"/>
        </w:rPr>
        <w:t xml:space="preserve">Los objetivos de este componente son adaptar el sector de las telecomunicaciones a los requisitos de la Estrategia Digital Europea y reforzar la cohesión económica, social y territorial mediante la eliminación de las brechas digitales y el aumento del acceso a la cobertura ultrarrápida en todo el territorio nacional. El componente apoya la implantación acelerada de la tecnología 5G: 1) mediante la puesta a disposición de los recursos de espectro necesarios en las bandas prioritarias de 5G; 2) </w:t>
      </w:r>
      <w:r w:rsidRPr="00E064CB">
        <w:rPr>
          <w:rFonts w:ascii="Arial" w:hAnsi="Arial" w:cs="Arial"/>
        </w:rPr>
        <w:lastRenderedPageBreak/>
        <w:t xml:space="preserve">mediante el desarrollo de un entorno de implantación fiable y seguro y 3) mediante el fomento del desarrollo de aplicaciones de tecnología 5G. También tiene por objeto </w:t>
      </w:r>
    </w:p>
    <w:p w14:paraId="592E814F" w14:textId="17316F97" w:rsidR="000975A3" w:rsidRDefault="000975A3" w:rsidP="000917B5">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D</w:t>
      </w:r>
      <w:r w:rsidR="00906F98">
        <w:rPr>
          <w:rFonts w:ascii="Arial" w:hAnsi="Arial" w:cs="Arial"/>
          <w:b/>
        </w:rPr>
        <w:t>ESCRIPCIÓN DE LA INVERSIÓN</w:t>
      </w:r>
    </w:p>
    <w:p w14:paraId="46B6702A" w14:textId="77777777"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hAnsi="Arial" w:cs="Arial"/>
        </w:rPr>
      </w:pPr>
      <w:r w:rsidRPr="00E064CB">
        <w:rPr>
          <w:rFonts w:ascii="Arial" w:hAnsi="Arial" w:cs="Arial"/>
        </w:rPr>
        <w:t>La inversión se materializará a través de 27 actuaciones concretas, orientadas fundamentalmente a desarrollar las capacidades de ciberseguridad tanto de ciudadanos como empresas y al impulso del ecosistema de ciberseguridad español en el marco de la estrategia de soberanía digital europea. La extensión de infraestructuras digitales abordadas en este mismo componente o los esfuerzos para incrementar las habilidades digitales de los ciudadanos, incorporadas en este Plan, generan el espacio para una mayor digitalización de nuestra sociedad, provocarán previsiblemente una mayor profundización de lo digital. Por ese motivo, esta inversión incorpora 27 tipos de actuaciones en torno a 3 ejes:</w:t>
      </w:r>
    </w:p>
    <w:p w14:paraId="5FF9CF07" w14:textId="4572BD28"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hAnsi="Arial" w:cs="Arial"/>
        </w:rPr>
      </w:pPr>
      <w:r w:rsidRPr="00E064CB">
        <w:rPr>
          <w:rFonts w:ascii="Arial" w:hAnsi="Arial" w:cs="Arial"/>
        </w:rPr>
        <w:t>1.</w:t>
      </w:r>
      <w:r w:rsidRPr="00E064CB">
        <w:rPr>
          <w:rFonts w:ascii="Arial" w:hAnsi="Arial" w:cs="Arial"/>
        </w:rPr>
        <w:tab/>
        <w:t>Fortalecimiento de las capacidades de ciberseguridad de ciudadanos, pymes y profesionales (98 M€). O lo que es lo mismo, dotar a los ciudadanos y a las empresas, especialmente a las pymes, de las habilidades necesarias para identificar riesgos en el uso cotidiano de lo digital. Los programas incorporados en esta área incorporan un notable esfuerzo de concienciación y sensibilización que deben llegar al mayor número posible de la población, a través de campañas de comunicación, acciones de proximidad, el desarrollo de recursos específicos para tales fines (un ambicioso</w:t>
      </w:r>
      <w:r w:rsidR="00E064CB">
        <w:rPr>
          <w:rFonts w:ascii="Arial" w:hAnsi="Arial" w:cs="Arial"/>
        </w:rPr>
        <w:t>,</w:t>
      </w:r>
      <w:r w:rsidRPr="00E064CB">
        <w:rPr>
          <w:rFonts w:ascii="Arial" w:hAnsi="Arial" w:cs="Arial"/>
        </w:rPr>
        <w:t xml:space="preserve"> pero necesario objetivo de 100 de estos recursos específicos en 3 años se han establecido para su difusión masiva a ciudadanos y empresas).</w:t>
      </w:r>
    </w:p>
    <w:p w14:paraId="39AFD15C" w14:textId="77777777"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hAnsi="Arial" w:cs="Arial"/>
        </w:rPr>
      </w:pPr>
      <w:r w:rsidRPr="00E064CB">
        <w:rPr>
          <w:rFonts w:ascii="Arial" w:hAnsi="Arial" w:cs="Arial"/>
        </w:rPr>
        <w:t>Del mismo modo se ha establecido un incremento en los mecanismos de respuesta a través de servicios y acciones coordinadas de respuesta como por ejemplo la Línea de Ayuda en Ciberseguridad. Que incrementará su capacidad hasta las 20.000 llamadas al mes, pero también el desarrollo de nuevas tecnologías de soporte, la mejora de los servicios de alerta temprana y vigilancia de ciberamenazas, o el desarrollo de soluciones para la mejora de los servicios públicos de ciberseguridad. Esfuerzos que deben llegar masivamente a la población para asegurar, como se mencionaba anteriormente, la confianza en el entorno digital y que esto pueda aportar el impulso socioeconómico esperado.</w:t>
      </w:r>
    </w:p>
    <w:p w14:paraId="6EC43237" w14:textId="77777777"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hAnsi="Arial" w:cs="Arial"/>
        </w:rPr>
      </w:pPr>
      <w:r w:rsidRPr="00E064CB">
        <w:rPr>
          <w:rFonts w:ascii="Arial" w:hAnsi="Arial" w:cs="Arial"/>
        </w:rPr>
        <w:t>2.</w:t>
      </w:r>
      <w:r w:rsidRPr="00E064CB">
        <w:rPr>
          <w:rFonts w:ascii="Arial" w:hAnsi="Arial" w:cs="Arial"/>
        </w:rPr>
        <w:tab/>
        <w:t xml:space="preserve">El segundo eje es el Impulso el ecosistema del sector ciberseguridad (418 M€), que responde por un lado a la necesidad de contribuir a la soberanía digital europea, y al mismo tiempo representa una oportunidad para la generación de riqueza, </w:t>
      </w:r>
      <w:r w:rsidRPr="00E064CB">
        <w:rPr>
          <w:rFonts w:ascii="Arial" w:hAnsi="Arial" w:cs="Arial"/>
        </w:rPr>
        <w:lastRenderedPageBreak/>
        <w:t xml:space="preserve">empleo y empresas en un sector de enorme crecimiento como es la seguridad digital. Esta actuación se llevará a cabo a través de 3 palancas: </w:t>
      </w:r>
    </w:p>
    <w:p w14:paraId="77C76DB9" w14:textId="41A29867" w:rsidR="00284F5A" w:rsidRPr="00E064CB" w:rsidRDefault="00284F5A" w:rsidP="000917B5">
      <w:pPr>
        <w:pStyle w:val="Prrafodelista"/>
        <w:numPr>
          <w:ilvl w:val="0"/>
          <w:numId w:val="2"/>
        </w:numPr>
        <w:tabs>
          <w:tab w:val="left" w:pos="567"/>
        </w:tabs>
        <w:spacing w:before="120" w:after="120" w:line="360" w:lineRule="exact"/>
        <w:ind w:left="0" w:firstLine="1134"/>
        <w:contextualSpacing w:val="0"/>
        <w:rPr>
          <w:rFonts w:ascii="Arial" w:hAnsi="Arial" w:cs="Arial"/>
        </w:rPr>
      </w:pPr>
      <w:r w:rsidRPr="00E064CB">
        <w:rPr>
          <w:rFonts w:ascii="Arial" w:hAnsi="Arial" w:cs="Arial"/>
        </w:rPr>
        <w:t>El impulso a la industria nacional de ciberseguridad, para el surgimiento, crecimiento y desarrollo de empresas del sector (200 M€)</w:t>
      </w:r>
    </w:p>
    <w:p w14:paraId="38C95B40" w14:textId="0AF5DCE4" w:rsidR="00284F5A" w:rsidRPr="00E064CB" w:rsidRDefault="00284F5A" w:rsidP="000917B5">
      <w:pPr>
        <w:pStyle w:val="Prrafodelista"/>
        <w:numPr>
          <w:ilvl w:val="0"/>
          <w:numId w:val="2"/>
        </w:numPr>
        <w:tabs>
          <w:tab w:val="left" w:pos="567"/>
        </w:tabs>
        <w:spacing w:before="120" w:after="120" w:line="360" w:lineRule="exact"/>
        <w:ind w:left="0" w:firstLine="1134"/>
        <w:contextualSpacing w:val="0"/>
        <w:rPr>
          <w:rFonts w:ascii="Arial" w:hAnsi="Arial" w:cs="Arial"/>
        </w:rPr>
      </w:pPr>
      <w:r w:rsidRPr="00E064CB">
        <w:rPr>
          <w:rFonts w:ascii="Arial" w:hAnsi="Arial" w:cs="Arial"/>
        </w:rPr>
        <w:t>El impulso decidido al I+D+i en ciberseguridad, que permita desarrollar soluciones y servicios de alto valor añadido para un mercado competitivo (140 M€)</w:t>
      </w:r>
    </w:p>
    <w:p w14:paraId="1FBE88A2" w14:textId="2F69F0DC" w:rsidR="00284F5A" w:rsidRPr="00E064CB" w:rsidRDefault="00284F5A" w:rsidP="000917B5">
      <w:pPr>
        <w:pStyle w:val="Prrafodelista"/>
        <w:numPr>
          <w:ilvl w:val="0"/>
          <w:numId w:val="2"/>
        </w:numPr>
        <w:tabs>
          <w:tab w:val="left" w:pos="567"/>
        </w:tabs>
        <w:spacing w:before="120" w:after="120" w:line="360" w:lineRule="exact"/>
        <w:ind w:left="0" w:firstLine="1134"/>
        <w:contextualSpacing w:val="0"/>
        <w:rPr>
          <w:rFonts w:ascii="Arial" w:hAnsi="Arial" w:cs="Arial"/>
        </w:rPr>
      </w:pPr>
      <w:r w:rsidRPr="00E064CB">
        <w:rPr>
          <w:rFonts w:ascii="Arial" w:hAnsi="Arial" w:cs="Arial"/>
        </w:rPr>
        <w:t>La identificación, transformación y desarrollo del talento para hacer frente a la enorme demanda no cubierta de profesionales en el sector, que actores como Gartner sitúan por encima de los 3 millones en 2022 a nivel global (30 M€)</w:t>
      </w:r>
    </w:p>
    <w:p w14:paraId="6B8C7548" w14:textId="318D5DA7"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hAnsi="Arial" w:cs="Arial"/>
        </w:rPr>
      </w:pPr>
      <w:r w:rsidRPr="00E064CB">
        <w:rPr>
          <w:rFonts w:ascii="Arial" w:hAnsi="Arial" w:cs="Arial"/>
        </w:rPr>
        <w:t>Para el impulso de este eje se establecen una batería de actuaciones como la realización del Programa de Apoyo a la Industria Nacional de Ciberseguridad y el Programa Global de Innovación en seguridad, con los que se cubran actuaciones de apoyo y fomento del emprendimiento, para la generación de nuevo tejido empresarial, el apoyo por la I+D+i en Ciberseguridad como elemento transformador del país, programas de Aceleración (por Comunidades Autónomas) para el crecimiento de startups con proyecto ciber; Centro Demostrador (45M) para el desarrollo de infraestructuras como base para pruebas y creación de nuevos servicios de ciberseguridad, laboratorios de pruebas, simuladores de ataque, iniciativas estratégicas de productos MVP con alto impacto; acciones para la internacionalización. Acciones que se unen a iniciativas como la creación de un Sello INCIBE-Acelera (3M€), la plataforma y repositorio de retos de la industria y Administraciones Públicas, nuevas soluciones y prototipado en entornos de usuario final a través de la demanda sofisticada de ciberseguridad e incentivos de compra pre-comercial innovadora, el impulso del empleo investigador en empresa privada y la</w:t>
      </w:r>
      <w:r w:rsidR="00E064CB">
        <w:rPr>
          <w:rFonts w:ascii="Arial" w:hAnsi="Arial" w:cs="Arial"/>
        </w:rPr>
        <w:t xml:space="preserve"> </w:t>
      </w:r>
      <w:r w:rsidRPr="00E064CB">
        <w:rPr>
          <w:rFonts w:ascii="Arial" w:hAnsi="Arial" w:cs="Arial"/>
        </w:rPr>
        <w:t>identificación y desarrollo del talento en ciberseguridad.</w:t>
      </w:r>
    </w:p>
    <w:p w14:paraId="5A66EA69" w14:textId="77777777" w:rsidR="00284F5A" w:rsidRPr="00E064CB" w:rsidRDefault="00284F5A" w:rsidP="00E064CB">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064CB">
        <w:rPr>
          <w:rFonts w:ascii="Arial" w:eastAsia="Times New Roman" w:hAnsi="Arial" w:cs="Arial"/>
          <w:bCs/>
          <w:lang w:val="es-ES_tradnl" w:eastAsia="es-ES"/>
        </w:rPr>
        <w:t>3.</w:t>
      </w:r>
      <w:r w:rsidRPr="00E064CB">
        <w:rPr>
          <w:rFonts w:ascii="Arial" w:eastAsia="Times New Roman" w:hAnsi="Arial" w:cs="Arial"/>
          <w:bCs/>
          <w:lang w:val="es-ES_tradnl" w:eastAsia="es-ES"/>
        </w:rPr>
        <w:tab/>
        <w:t>El tercer eje, nodo internacional (8M€), contribuirá al impulso del sector en el espacio europeo, a través de la participación activa en la Red europea de centros espejo, la ejecución de proyectos con Financiación Europea para desarrollo de capacidades comunes a nivel europeo, la ejecución de proyectos de tipo financiación cascada para que se beneficien entidades españolas o la activación de acciones de soporte y estudios como centro de coordinación nacional. Entre las actuaciones de este se llevará a cabo la puesta en marcha del Centro Espejo del Centro Europeo de Competencias.</w:t>
      </w:r>
    </w:p>
    <w:p w14:paraId="0B42D854" w14:textId="730A530E" w:rsidR="000975A3" w:rsidRDefault="000975A3" w:rsidP="000917B5">
      <w:pPr>
        <w:pStyle w:val="Prrafodelista"/>
        <w:keepNext/>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lastRenderedPageBreak/>
        <w:t>C</w:t>
      </w:r>
      <w:r w:rsidR="00906F98">
        <w:rPr>
          <w:rFonts w:ascii="Arial" w:hAnsi="Arial" w:cs="Arial"/>
          <w:b/>
        </w:rPr>
        <w:t>OSTE DE LA INVERSIÓN Y DISTRIBUCIÓN ANUALIZADA</w:t>
      </w:r>
    </w:p>
    <w:p w14:paraId="6E2144DB" w14:textId="479DA045" w:rsidR="00DA47F0" w:rsidRPr="000917B5" w:rsidRDefault="00DA47F0" w:rsidP="000917B5">
      <w:pPr>
        <w:pStyle w:val="Prrafodelista"/>
        <w:keepNext/>
        <w:tabs>
          <w:tab w:val="left" w:pos="567"/>
        </w:tabs>
        <w:spacing w:before="60" w:after="60" w:line="360" w:lineRule="exact"/>
        <w:ind w:left="0"/>
        <w:contextualSpacing w:val="0"/>
        <w:jc w:val="right"/>
        <w:rPr>
          <w:rFonts w:ascii="Arial" w:hAnsi="Arial" w:cs="Arial"/>
          <w:sz w:val="16"/>
          <w:szCs w:val="16"/>
        </w:rPr>
      </w:pPr>
      <w:r w:rsidRPr="000917B5">
        <w:rPr>
          <w:rFonts w:ascii="Arial" w:hAnsi="Arial" w:cs="Arial"/>
          <w:sz w:val="16"/>
          <w:szCs w:val="16"/>
        </w:rPr>
        <w:t>(En millones de euros)</w:t>
      </w:r>
    </w:p>
    <w:tbl>
      <w:tblPr>
        <w:tblStyle w:val="Tablaconcuadrcula"/>
        <w:tblW w:w="0" w:type="auto"/>
        <w:tblInd w:w="108" w:type="dxa"/>
        <w:tblLayout w:type="fixed"/>
        <w:tblLook w:val="0600" w:firstRow="0" w:lastRow="0" w:firstColumn="0" w:lastColumn="0" w:noHBand="1" w:noVBand="1"/>
      </w:tblPr>
      <w:tblGrid>
        <w:gridCol w:w="2401"/>
        <w:gridCol w:w="811"/>
        <w:gridCol w:w="811"/>
        <w:gridCol w:w="813"/>
        <w:gridCol w:w="811"/>
        <w:gridCol w:w="811"/>
        <w:gridCol w:w="813"/>
        <w:gridCol w:w="811"/>
        <w:gridCol w:w="813"/>
      </w:tblGrid>
      <w:tr w:rsidR="000975A3" w14:paraId="6858A51A" w14:textId="77777777" w:rsidTr="00512BCC">
        <w:trPr>
          <w:trHeight w:val="283"/>
        </w:trPr>
        <w:tc>
          <w:tcPr>
            <w:tcW w:w="2401" w:type="dxa"/>
          </w:tcPr>
          <w:p w14:paraId="061B36E9" w14:textId="0B8DA916" w:rsidR="000975A3" w:rsidRPr="000917B5" w:rsidRDefault="00CF27D4" w:rsidP="000917B5">
            <w:pPr>
              <w:pStyle w:val="Prrafodelista"/>
              <w:tabs>
                <w:tab w:val="left" w:pos="567"/>
              </w:tabs>
              <w:spacing w:after="60" w:line="360" w:lineRule="exact"/>
              <w:ind w:left="0"/>
              <w:contextualSpacing w:val="0"/>
              <w:jc w:val="left"/>
              <w:rPr>
                <w:rFonts w:ascii="Arial" w:hAnsi="Arial" w:cs="Arial"/>
                <w:b/>
                <w:sz w:val="18"/>
                <w:szCs w:val="16"/>
              </w:rPr>
            </w:pPr>
            <w:proofErr w:type="spellStart"/>
            <w:r w:rsidRPr="000917B5">
              <w:rPr>
                <w:rFonts w:ascii="Arial" w:hAnsi="Arial" w:cs="Arial"/>
                <w:b/>
                <w:sz w:val="18"/>
                <w:szCs w:val="16"/>
              </w:rPr>
              <w:t>Periodificación</w:t>
            </w:r>
            <w:proofErr w:type="spellEnd"/>
          </w:p>
        </w:tc>
        <w:tc>
          <w:tcPr>
            <w:tcW w:w="811" w:type="dxa"/>
          </w:tcPr>
          <w:p w14:paraId="5D1635D3" w14:textId="549C6CC9"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2020</w:t>
            </w:r>
          </w:p>
        </w:tc>
        <w:tc>
          <w:tcPr>
            <w:tcW w:w="811" w:type="dxa"/>
          </w:tcPr>
          <w:p w14:paraId="381BCDCC" w14:textId="100632EA"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2021</w:t>
            </w:r>
          </w:p>
        </w:tc>
        <w:tc>
          <w:tcPr>
            <w:tcW w:w="813" w:type="dxa"/>
          </w:tcPr>
          <w:p w14:paraId="1DB2E566" w14:textId="58DBF0F4"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2022</w:t>
            </w:r>
          </w:p>
        </w:tc>
        <w:tc>
          <w:tcPr>
            <w:tcW w:w="811" w:type="dxa"/>
          </w:tcPr>
          <w:p w14:paraId="73174F2C" w14:textId="08B7B874"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2023</w:t>
            </w:r>
          </w:p>
        </w:tc>
        <w:tc>
          <w:tcPr>
            <w:tcW w:w="811" w:type="dxa"/>
          </w:tcPr>
          <w:p w14:paraId="60453202" w14:textId="0B2BFEA1"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2024</w:t>
            </w:r>
          </w:p>
        </w:tc>
        <w:tc>
          <w:tcPr>
            <w:tcW w:w="813" w:type="dxa"/>
          </w:tcPr>
          <w:p w14:paraId="599C6DA3" w14:textId="31D41AB7"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2025</w:t>
            </w:r>
          </w:p>
        </w:tc>
        <w:tc>
          <w:tcPr>
            <w:tcW w:w="811" w:type="dxa"/>
          </w:tcPr>
          <w:p w14:paraId="6126EA2B" w14:textId="3111A91C"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2026</w:t>
            </w:r>
          </w:p>
        </w:tc>
        <w:tc>
          <w:tcPr>
            <w:tcW w:w="813" w:type="dxa"/>
          </w:tcPr>
          <w:p w14:paraId="2CF2594D" w14:textId="0D916DB8" w:rsidR="000975A3" w:rsidRPr="000917B5" w:rsidRDefault="00CF27D4" w:rsidP="000917B5">
            <w:pPr>
              <w:pStyle w:val="Prrafodelista"/>
              <w:tabs>
                <w:tab w:val="left" w:pos="567"/>
              </w:tabs>
              <w:spacing w:after="60" w:line="360" w:lineRule="exact"/>
              <w:ind w:left="0"/>
              <w:contextualSpacing w:val="0"/>
              <w:jc w:val="center"/>
              <w:rPr>
                <w:rFonts w:ascii="Arial" w:hAnsi="Arial" w:cs="Arial"/>
                <w:b/>
                <w:sz w:val="18"/>
                <w:szCs w:val="16"/>
              </w:rPr>
            </w:pPr>
            <w:r w:rsidRPr="000917B5">
              <w:rPr>
                <w:rFonts w:ascii="Arial" w:hAnsi="Arial" w:cs="Arial"/>
                <w:b/>
                <w:sz w:val="18"/>
                <w:szCs w:val="16"/>
              </w:rPr>
              <w:t>Total</w:t>
            </w:r>
          </w:p>
        </w:tc>
      </w:tr>
      <w:tr w:rsidR="00284F5A" w14:paraId="0148D7B1" w14:textId="77777777" w:rsidTr="00512BCC">
        <w:tc>
          <w:tcPr>
            <w:tcW w:w="2401" w:type="dxa"/>
          </w:tcPr>
          <w:p w14:paraId="2BC2D740" w14:textId="72A9FFBC" w:rsidR="00284F5A" w:rsidRPr="000917B5" w:rsidRDefault="00284F5A" w:rsidP="000917B5">
            <w:pPr>
              <w:pStyle w:val="Prrafodelista"/>
              <w:tabs>
                <w:tab w:val="left" w:pos="567"/>
              </w:tabs>
              <w:spacing w:line="360" w:lineRule="exact"/>
              <w:ind w:left="0"/>
              <w:contextualSpacing w:val="0"/>
              <w:jc w:val="left"/>
              <w:rPr>
                <w:rFonts w:ascii="Arial" w:hAnsi="Arial" w:cs="Arial"/>
                <w:b/>
                <w:sz w:val="18"/>
                <w:szCs w:val="16"/>
              </w:rPr>
            </w:pPr>
            <w:r w:rsidRPr="000917B5">
              <w:rPr>
                <w:rFonts w:ascii="Arial" w:hAnsi="Arial" w:cs="Arial"/>
                <w:b/>
                <w:sz w:val="18"/>
                <w:szCs w:val="16"/>
              </w:rPr>
              <w:t>Coste del Mecanismo</w:t>
            </w:r>
          </w:p>
        </w:tc>
        <w:tc>
          <w:tcPr>
            <w:tcW w:w="811" w:type="dxa"/>
          </w:tcPr>
          <w:p w14:paraId="6CC86EF1" w14:textId="77777777" w:rsidR="00284F5A" w:rsidRPr="000917B5" w:rsidRDefault="00284F5A" w:rsidP="000917B5">
            <w:pPr>
              <w:pStyle w:val="Prrafodelista"/>
              <w:tabs>
                <w:tab w:val="left" w:pos="567"/>
              </w:tabs>
              <w:spacing w:line="360" w:lineRule="exact"/>
              <w:ind w:left="0"/>
              <w:contextualSpacing w:val="0"/>
              <w:jc w:val="left"/>
              <w:rPr>
                <w:rFonts w:ascii="Arial" w:hAnsi="Arial" w:cs="Arial"/>
                <w:sz w:val="12"/>
                <w:szCs w:val="16"/>
              </w:rPr>
            </w:pPr>
          </w:p>
        </w:tc>
        <w:tc>
          <w:tcPr>
            <w:tcW w:w="811" w:type="dxa"/>
          </w:tcPr>
          <w:p w14:paraId="6054F255" w14:textId="1FA52F7A"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r w:rsidRPr="000917B5">
              <w:rPr>
                <w:rFonts w:ascii="Arial" w:hAnsi="Arial" w:cs="Arial"/>
                <w:bCs/>
                <w:color w:val="000000"/>
                <w:sz w:val="12"/>
                <w:szCs w:val="16"/>
              </w:rPr>
              <w:t>209,6</w:t>
            </w:r>
          </w:p>
        </w:tc>
        <w:tc>
          <w:tcPr>
            <w:tcW w:w="813" w:type="dxa"/>
          </w:tcPr>
          <w:p w14:paraId="35E19E8A" w14:textId="6E525FEA"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r w:rsidRPr="000917B5">
              <w:rPr>
                <w:rFonts w:ascii="Arial" w:hAnsi="Arial" w:cs="Arial"/>
                <w:bCs/>
                <w:color w:val="000000"/>
                <w:sz w:val="12"/>
                <w:szCs w:val="16"/>
              </w:rPr>
              <w:t>182,78</w:t>
            </w:r>
          </w:p>
        </w:tc>
        <w:tc>
          <w:tcPr>
            <w:tcW w:w="811" w:type="dxa"/>
          </w:tcPr>
          <w:p w14:paraId="2B8BF10C" w14:textId="6B068E36"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r w:rsidRPr="000917B5">
              <w:rPr>
                <w:rFonts w:ascii="Arial" w:hAnsi="Arial" w:cs="Arial"/>
                <w:bCs/>
                <w:color w:val="000000"/>
                <w:sz w:val="12"/>
                <w:szCs w:val="16"/>
              </w:rPr>
              <w:t>131,62</w:t>
            </w:r>
          </w:p>
        </w:tc>
        <w:tc>
          <w:tcPr>
            <w:tcW w:w="811" w:type="dxa"/>
          </w:tcPr>
          <w:p w14:paraId="32AB15D4"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p>
        </w:tc>
        <w:tc>
          <w:tcPr>
            <w:tcW w:w="813" w:type="dxa"/>
          </w:tcPr>
          <w:p w14:paraId="68712FE5"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p>
        </w:tc>
        <w:tc>
          <w:tcPr>
            <w:tcW w:w="811" w:type="dxa"/>
          </w:tcPr>
          <w:p w14:paraId="594741C7"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p>
        </w:tc>
        <w:tc>
          <w:tcPr>
            <w:tcW w:w="813" w:type="dxa"/>
          </w:tcPr>
          <w:p w14:paraId="1DB3441D" w14:textId="1CFBA957" w:rsidR="00284F5A" w:rsidRPr="000917B5" w:rsidRDefault="00284F5A" w:rsidP="000917B5">
            <w:pPr>
              <w:pStyle w:val="Prrafodelista"/>
              <w:tabs>
                <w:tab w:val="left" w:pos="567"/>
              </w:tabs>
              <w:spacing w:line="360" w:lineRule="exact"/>
              <w:ind w:left="0"/>
              <w:contextualSpacing w:val="0"/>
              <w:jc w:val="right"/>
              <w:rPr>
                <w:rFonts w:ascii="Arial" w:hAnsi="Arial" w:cs="Arial"/>
                <w:bCs/>
                <w:color w:val="000000"/>
                <w:sz w:val="12"/>
                <w:szCs w:val="16"/>
              </w:rPr>
            </w:pPr>
            <w:r w:rsidRPr="000917B5">
              <w:rPr>
                <w:rFonts w:ascii="Arial" w:hAnsi="Arial" w:cs="Arial"/>
                <w:bCs/>
                <w:color w:val="000000"/>
                <w:sz w:val="12"/>
                <w:szCs w:val="16"/>
              </w:rPr>
              <w:t>524</w:t>
            </w:r>
          </w:p>
        </w:tc>
      </w:tr>
      <w:tr w:rsidR="000975A3" w14:paraId="5359DC65" w14:textId="77777777" w:rsidTr="00512BCC">
        <w:tc>
          <w:tcPr>
            <w:tcW w:w="2401" w:type="dxa"/>
          </w:tcPr>
          <w:p w14:paraId="62875BE5" w14:textId="5D7648F9" w:rsidR="000975A3" w:rsidRPr="000917B5" w:rsidRDefault="00CF27D4" w:rsidP="000917B5">
            <w:pPr>
              <w:pStyle w:val="Prrafodelista"/>
              <w:tabs>
                <w:tab w:val="left" w:pos="567"/>
              </w:tabs>
              <w:spacing w:line="360" w:lineRule="exact"/>
              <w:ind w:left="0"/>
              <w:contextualSpacing w:val="0"/>
              <w:jc w:val="left"/>
              <w:rPr>
                <w:rFonts w:ascii="Arial" w:hAnsi="Arial" w:cs="Arial"/>
                <w:b/>
                <w:sz w:val="18"/>
                <w:szCs w:val="16"/>
              </w:rPr>
            </w:pPr>
            <w:r w:rsidRPr="000917B5">
              <w:rPr>
                <w:rFonts w:ascii="Arial" w:hAnsi="Arial" w:cs="Arial"/>
                <w:b/>
                <w:sz w:val="18"/>
                <w:szCs w:val="16"/>
              </w:rPr>
              <w:t>Otra financiación</w:t>
            </w:r>
          </w:p>
        </w:tc>
        <w:tc>
          <w:tcPr>
            <w:tcW w:w="811" w:type="dxa"/>
          </w:tcPr>
          <w:p w14:paraId="7DDD3BAD" w14:textId="77777777" w:rsidR="000975A3" w:rsidRPr="000917B5" w:rsidRDefault="000975A3" w:rsidP="000917B5">
            <w:pPr>
              <w:pStyle w:val="Prrafodelista"/>
              <w:tabs>
                <w:tab w:val="left" w:pos="567"/>
              </w:tabs>
              <w:spacing w:line="360" w:lineRule="exact"/>
              <w:ind w:left="0"/>
              <w:contextualSpacing w:val="0"/>
              <w:jc w:val="left"/>
              <w:rPr>
                <w:rFonts w:ascii="Arial" w:hAnsi="Arial" w:cs="Arial"/>
                <w:sz w:val="12"/>
                <w:szCs w:val="16"/>
              </w:rPr>
            </w:pPr>
          </w:p>
        </w:tc>
        <w:tc>
          <w:tcPr>
            <w:tcW w:w="811" w:type="dxa"/>
          </w:tcPr>
          <w:p w14:paraId="2B475F33"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3" w:type="dxa"/>
          </w:tcPr>
          <w:p w14:paraId="6C1BEB09"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1" w:type="dxa"/>
          </w:tcPr>
          <w:p w14:paraId="0614AB5D"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1" w:type="dxa"/>
          </w:tcPr>
          <w:p w14:paraId="61FEC242"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3" w:type="dxa"/>
          </w:tcPr>
          <w:p w14:paraId="056F5604"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1" w:type="dxa"/>
          </w:tcPr>
          <w:p w14:paraId="1B438A7B"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c>
          <w:tcPr>
            <w:tcW w:w="813" w:type="dxa"/>
          </w:tcPr>
          <w:p w14:paraId="09245EEA" w14:textId="77777777" w:rsidR="000975A3" w:rsidRPr="000917B5" w:rsidRDefault="000975A3" w:rsidP="000917B5">
            <w:pPr>
              <w:pStyle w:val="Prrafodelista"/>
              <w:tabs>
                <w:tab w:val="left" w:pos="567"/>
              </w:tabs>
              <w:spacing w:line="360" w:lineRule="exact"/>
              <w:ind w:left="0"/>
              <w:contextualSpacing w:val="0"/>
              <w:jc w:val="right"/>
              <w:rPr>
                <w:rFonts w:ascii="Arial" w:hAnsi="Arial" w:cs="Arial"/>
                <w:sz w:val="12"/>
                <w:szCs w:val="16"/>
              </w:rPr>
            </w:pPr>
          </w:p>
        </w:tc>
      </w:tr>
      <w:tr w:rsidR="00284F5A" w14:paraId="7A02CE8A" w14:textId="77777777" w:rsidTr="00512BCC">
        <w:tc>
          <w:tcPr>
            <w:tcW w:w="2401" w:type="dxa"/>
          </w:tcPr>
          <w:p w14:paraId="39690108" w14:textId="1DDA5AB1" w:rsidR="00284F5A" w:rsidRPr="000917B5" w:rsidRDefault="00284F5A" w:rsidP="000917B5">
            <w:pPr>
              <w:pStyle w:val="Prrafodelista"/>
              <w:tabs>
                <w:tab w:val="left" w:pos="567"/>
              </w:tabs>
              <w:spacing w:line="360" w:lineRule="exact"/>
              <w:ind w:left="0"/>
              <w:contextualSpacing w:val="0"/>
              <w:jc w:val="left"/>
              <w:rPr>
                <w:rFonts w:ascii="Arial" w:hAnsi="Arial" w:cs="Arial"/>
                <w:b/>
                <w:sz w:val="18"/>
                <w:szCs w:val="16"/>
              </w:rPr>
            </w:pPr>
            <w:r w:rsidRPr="000917B5">
              <w:rPr>
                <w:rFonts w:ascii="Arial" w:hAnsi="Arial" w:cs="Arial"/>
                <w:b/>
                <w:sz w:val="18"/>
                <w:szCs w:val="16"/>
              </w:rPr>
              <w:t>Total</w:t>
            </w:r>
          </w:p>
        </w:tc>
        <w:tc>
          <w:tcPr>
            <w:tcW w:w="811" w:type="dxa"/>
          </w:tcPr>
          <w:p w14:paraId="0C5970CB" w14:textId="77777777" w:rsidR="00284F5A" w:rsidRPr="000917B5" w:rsidRDefault="00284F5A" w:rsidP="000917B5">
            <w:pPr>
              <w:pStyle w:val="Prrafodelista"/>
              <w:tabs>
                <w:tab w:val="left" w:pos="567"/>
              </w:tabs>
              <w:spacing w:line="360" w:lineRule="exact"/>
              <w:ind w:left="0"/>
              <w:contextualSpacing w:val="0"/>
              <w:jc w:val="left"/>
              <w:rPr>
                <w:rFonts w:ascii="Arial" w:hAnsi="Arial" w:cs="Arial"/>
                <w:sz w:val="12"/>
                <w:szCs w:val="16"/>
              </w:rPr>
            </w:pPr>
          </w:p>
        </w:tc>
        <w:tc>
          <w:tcPr>
            <w:tcW w:w="811" w:type="dxa"/>
          </w:tcPr>
          <w:p w14:paraId="5E48C9E7" w14:textId="6277DD2A"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r w:rsidRPr="000917B5">
              <w:rPr>
                <w:rFonts w:ascii="Arial" w:hAnsi="Arial" w:cs="Arial"/>
                <w:bCs/>
                <w:color w:val="000000"/>
                <w:sz w:val="12"/>
                <w:szCs w:val="16"/>
              </w:rPr>
              <w:t>209,6</w:t>
            </w:r>
          </w:p>
        </w:tc>
        <w:tc>
          <w:tcPr>
            <w:tcW w:w="813" w:type="dxa"/>
          </w:tcPr>
          <w:p w14:paraId="29767890" w14:textId="7AA01D0D"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r w:rsidRPr="000917B5">
              <w:rPr>
                <w:rFonts w:ascii="Arial" w:hAnsi="Arial" w:cs="Arial"/>
                <w:bCs/>
                <w:color w:val="000000"/>
                <w:sz w:val="12"/>
                <w:szCs w:val="16"/>
              </w:rPr>
              <w:t>182,78</w:t>
            </w:r>
          </w:p>
        </w:tc>
        <w:tc>
          <w:tcPr>
            <w:tcW w:w="811" w:type="dxa"/>
          </w:tcPr>
          <w:p w14:paraId="40FBF764" w14:textId="4745694C"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r w:rsidRPr="000917B5">
              <w:rPr>
                <w:rFonts w:ascii="Arial" w:hAnsi="Arial" w:cs="Arial"/>
                <w:bCs/>
                <w:color w:val="000000"/>
                <w:sz w:val="12"/>
                <w:szCs w:val="16"/>
              </w:rPr>
              <w:t>131,62</w:t>
            </w:r>
          </w:p>
        </w:tc>
        <w:tc>
          <w:tcPr>
            <w:tcW w:w="811" w:type="dxa"/>
          </w:tcPr>
          <w:p w14:paraId="1D4E9152"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p>
        </w:tc>
        <w:tc>
          <w:tcPr>
            <w:tcW w:w="813" w:type="dxa"/>
          </w:tcPr>
          <w:p w14:paraId="6A29B008"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p>
        </w:tc>
        <w:tc>
          <w:tcPr>
            <w:tcW w:w="811" w:type="dxa"/>
          </w:tcPr>
          <w:p w14:paraId="5C531A6A" w14:textId="77777777"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p>
        </w:tc>
        <w:tc>
          <w:tcPr>
            <w:tcW w:w="813" w:type="dxa"/>
          </w:tcPr>
          <w:p w14:paraId="7B2949D8" w14:textId="158EB801" w:rsidR="00284F5A" w:rsidRPr="000917B5" w:rsidRDefault="00284F5A" w:rsidP="000917B5">
            <w:pPr>
              <w:pStyle w:val="Prrafodelista"/>
              <w:tabs>
                <w:tab w:val="left" w:pos="567"/>
              </w:tabs>
              <w:spacing w:line="360" w:lineRule="exact"/>
              <w:ind w:left="0"/>
              <w:contextualSpacing w:val="0"/>
              <w:jc w:val="right"/>
              <w:rPr>
                <w:rFonts w:ascii="Arial" w:hAnsi="Arial" w:cs="Arial"/>
                <w:sz w:val="12"/>
                <w:szCs w:val="16"/>
              </w:rPr>
            </w:pPr>
            <w:r w:rsidRPr="000917B5">
              <w:rPr>
                <w:rFonts w:ascii="Arial" w:hAnsi="Arial" w:cs="Arial"/>
                <w:bCs/>
                <w:color w:val="000000"/>
                <w:sz w:val="12"/>
                <w:szCs w:val="16"/>
              </w:rPr>
              <w:t>524</w:t>
            </w:r>
          </w:p>
        </w:tc>
      </w:tr>
    </w:tbl>
    <w:p w14:paraId="5CD5F0CC" w14:textId="72AAB7B1" w:rsidR="00CF27D4" w:rsidRDefault="00CF27D4" w:rsidP="00E064CB">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Pr>
          <w:rFonts w:ascii="Arial" w:hAnsi="Arial" w:cs="Arial"/>
          <w:b/>
        </w:rPr>
        <w:t>H</w:t>
      </w:r>
      <w:r w:rsidR="00906F98">
        <w:rPr>
          <w:rFonts w:ascii="Arial" w:hAnsi="Arial" w:cs="Arial"/>
          <w:b/>
        </w:rPr>
        <w:t>ITOS Y OBJETIVOS DE LA INVERSIÓN</w:t>
      </w:r>
    </w:p>
    <w:tbl>
      <w:tblPr>
        <w:tblW w:w="4961" w:type="pct"/>
        <w:tblInd w:w="70" w:type="dxa"/>
        <w:tblCellMar>
          <w:left w:w="70" w:type="dxa"/>
          <w:right w:w="70" w:type="dxa"/>
        </w:tblCellMar>
        <w:tblLook w:val="04A0" w:firstRow="1" w:lastRow="0" w:firstColumn="1" w:lastColumn="0" w:noHBand="0" w:noVBand="1"/>
      </w:tblPr>
      <w:tblGrid>
        <w:gridCol w:w="341"/>
        <w:gridCol w:w="692"/>
        <w:gridCol w:w="755"/>
        <w:gridCol w:w="1213"/>
        <w:gridCol w:w="1040"/>
        <w:gridCol w:w="330"/>
        <w:gridCol w:w="530"/>
        <w:gridCol w:w="508"/>
        <w:gridCol w:w="406"/>
        <w:gridCol w:w="422"/>
        <w:gridCol w:w="2620"/>
      </w:tblGrid>
      <w:tr w:rsidR="000917B5" w:rsidRPr="00E064CB" w14:paraId="689D7141" w14:textId="77777777" w:rsidTr="00512BCC">
        <w:trPr>
          <w:trHeight w:val="300"/>
          <w:tblHeader/>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2168C"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Nº</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7BC25"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Medida </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69B5A0" w14:textId="77777777" w:rsidR="00284F5A" w:rsidRPr="00E064CB" w:rsidRDefault="00284F5A" w:rsidP="00284F5A">
            <w:pPr>
              <w:jc w:val="left"/>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Hito/ objetivo </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9A153"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Nombre </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EE411"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Indicadores cualitativos para los hitos </w:t>
            </w:r>
          </w:p>
        </w:tc>
        <w:tc>
          <w:tcPr>
            <w:tcW w:w="772" w:type="pct"/>
            <w:gridSpan w:val="3"/>
            <w:tcBorders>
              <w:top w:val="single" w:sz="4" w:space="0" w:color="auto"/>
              <w:left w:val="nil"/>
              <w:bottom w:val="single" w:sz="4" w:space="0" w:color="auto"/>
              <w:right w:val="single" w:sz="4" w:space="0" w:color="auto"/>
            </w:tcBorders>
            <w:shd w:val="clear" w:color="auto" w:fill="auto"/>
            <w:vAlign w:val="center"/>
            <w:hideMark/>
          </w:tcPr>
          <w:p w14:paraId="72601DD7"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Indicadores cuantitativos para los objetivos </w:t>
            </w:r>
          </w:p>
        </w:tc>
        <w:tc>
          <w:tcPr>
            <w:tcW w:w="467" w:type="pct"/>
            <w:gridSpan w:val="2"/>
            <w:tcBorders>
              <w:top w:val="single" w:sz="4" w:space="0" w:color="auto"/>
              <w:left w:val="nil"/>
              <w:bottom w:val="single" w:sz="4" w:space="0" w:color="auto"/>
              <w:right w:val="single" w:sz="4" w:space="0" w:color="auto"/>
            </w:tcBorders>
            <w:shd w:val="clear" w:color="auto" w:fill="auto"/>
            <w:vAlign w:val="center"/>
            <w:hideMark/>
          </w:tcPr>
          <w:p w14:paraId="6C65ADC0"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Tiempo </w:t>
            </w:r>
          </w:p>
        </w:tc>
        <w:tc>
          <w:tcPr>
            <w:tcW w:w="1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78747"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Descripción de cada hito y objetivo </w:t>
            </w:r>
          </w:p>
        </w:tc>
      </w:tr>
      <w:tr w:rsidR="000917B5" w:rsidRPr="00E064CB" w14:paraId="2877241C" w14:textId="77777777" w:rsidTr="00512BCC">
        <w:trPr>
          <w:cantSplit/>
          <w:trHeight w:val="1170"/>
          <w:tblHeader/>
        </w:trPr>
        <w:tc>
          <w:tcPr>
            <w:tcW w:w="193" w:type="pct"/>
            <w:vMerge/>
            <w:tcBorders>
              <w:top w:val="single" w:sz="4" w:space="0" w:color="auto"/>
              <w:left w:val="single" w:sz="4" w:space="0" w:color="auto"/>
              <w:bottom w:val="single" w:sz="4" w:space="0" w:color="auto"/>
              <w:right w:val="single" w:sz="4" w:space="0" w:color="auto"/>
            </w:tcBorders>
            <w:vAlign w:val="center"/>
            <w:hideMark/>
          </w:tcPr>
          <w:p w14:paraId="7B0EA8DF" w14:textId="77777777" w:rsidR="00284F5A" w:rsidRPr="00E064CB" w:rsidRDefault="00284F5A" w:rsidP="00284F5A">
            <w:pPr>
              <w:jc w:val="left"/>
              <w:rPr>
                <w:rFonts w:ascii="Arial" w:eastAsia="Times New Roman" w:hAnsi="Arial" w:cs="Arial"/>
                <w:b/>
                <w:bCs/>
                <w:color w:val="000000"/>
                <w:sz w:val="16"/>
                <w:szCs w:val="16"/>
                <w:lang w:eastAsia="es-ES"/>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7C71602E" w14:textId="77777777" w:rsidR="00284F5A" w:rsidRPr="00E064CB" w:rsidRDefault="00284F5A" w:rsidP="00284F5A">
            <w:pPr>
              <w:jc w:val="left"/>
              <w:rPr>
                <w:rFonts w:ascii="Arial" w:eastAsia="Times New Roman" w:hAnsi="Arial" w:cs="Arial"/>
                <w:b/>
                <w:bCs/>
                <w:color w:val="000000"/>
                <w:sz w:val="16"/>
                <w:szCs w:val="16"/>
                <w:lang w:eastAsia="es-ES"/>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483B794" w14:textId="77777777" w:rsidR="00284F5A" w:rsidRPr="00E064CB" w:rsidRDefault="00284F5A" w:rsidP="00284F5A">
            <w:pPr>
              <w:jc w:val="left"/>
              <w:rPr>
                <w:rFonts w:ascii="Arial" w:eastAsia="Times New Roman" w:hAnsi="Arial" w:cs="Arial"/>
                <w:b/>
                <w:bCs/>
                <w:color w:val="000000"/>
                <w:sz w:val="16"/>
                <w:szCs w:val="16"/>
                <w:lang w:eastAsia="es-ES"/>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6C266DC6" w14:textId="77777777" w:rsidR="00284F5A" w:rsidRPr="00E064CB" w:rsidRDefault="00284F5A" w:rsidP="00284F5A">
            <w:pPr>
              <w:jc w:val="left"/>
              <w:rPr>
                <w:rFonts w:ascii="Arial" w:eastAsia="Times New Roman" w:hAnsi="Arial" w:cs="Arial"/>
                <w:b/>
                <w:bCs/>
                <w:color w:val="000000"/>
                <w:sz w:val="16"/>
                <w:szCs w:val="16"/>
                <w:lang w:eastAsia="es-ES"/>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194E29F0" w14:textId="77777777" w:rsidR="00284F5A" w:rsidRPr="00E064CB" w:rsidRDefault="00284F5A" w:rsidP="00284F5A">
            <w:pPr>
              <w:jc w:val="left"/>
              <w:rPr>
                <w:rFonts w:ascii="Arial" w:eastAsia="Times New Roman" w:hAnsi="Arial" w:cs="Arial"/>
                <w:b/>
                <w:bCs/>
                <w:color w:val="000000"/>
                <w:sz w:val="16"/>
                <w:szCs w:val="16"/>
                <w:lang w:eastAsia="es-ES"/>
              </w:rPr>
            </w:pPr>
          </w:p>
        </w:tc>
        <w:tc>
          <w:tcPr>
            <w:tcW w:w="186" w:type="pct"/>
            <w:tcBorders>
              <w:top w:val="nil"/>
              <w:left w:val="nil"/>
              <w:bottom w:val="single" w:sz="4" w:space="0" w:color="auto"/>
              <w:right w:val="single" w:sz="4" w:space="0" w:color="auto"/>
            </w:tcBorders>
            <w:shd w:val="clear" w:color="auto" w:fill="auto"/>
            <w:textDirection w:val="btLr"/>
            <w:vAlign w:val="center"/>
            <w:hideMark/>
          </w:tcPr>
          <w:p w14:paraId="66AB89F7"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Unidad </w:t>
            </w:r>
          </w:p>
        </w:tc>
        <w:tc>
          <w:tcPr>
            <w:tcW w:w="299" w:type="pct"/>
            <w:tcBorders>
              <w:top w:val="nil"/>
              <w:left w:val="nil"/>
              <w:bottom w:val="single" w:sz="4" w:space="0" w:color="auto"/>
              <w:right w:val="single" w:sz="4" w:space="0" w:color="auto"/>
            </w:tcBorders>
            <w:shd w:val="clear" w:color="auto" w:fill="auto"/>
            <w:textDirection w:val="btLr"/>
            <w:vAlign w:val="center"/>
            <w:hideMark/>
          </w:tcPr>
          <w:p w14:paraId="5DD8C842"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Valor de referencia </w:t>
            </w:r>
          </w:p>
        </w:tc>
        <w:tc>
          <w:tcPr>
            <w:tcW w:w="287" w:type="pct"/>
            <w:tcBorders>
              <w:top w:val="nil"/>
              <w:left w:val="nil"/>
              <w:bottom w:val="single" w:sz="4" w:space="0" w:color="auto"/>
              <w:right w:val="single" w:sz="4" w:space="0" w:color="auto"/>
            </w:tcBorders>
            <w:shd w:val="clear" w:color="auto" w:fill="auto"/>
            <w:textDirection w:val="btLr"/>
            <w:vAlign w:val="center"/>
            <w:hideMark/>
          </w:tcPr>
          <w:p w14:paraId="60876BA9" w14:textId="77777777" w:rsidR="00284F5A" w:rsidRPr="00E064CB" w:rsidRDefault="00284F5A" w:rsidP="00284F5A">
            <w:pPr>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Meta </w:t>
            </w:r>
          </w:p>
        </w:tc>
        <w:tc>
          <w:tcPr>
            <w:tcW w:w="229" w:type="pct"/>
            <w:tcBorders>
              <w:top w:val="nil"/>
              <w:left w:val="nil"/>
              <w:bottom w:val="single" w:sz="4" w:space="0" w:color="auto"/>
              <w:right w:val="single" w:sz="4" w:space="0" w:color="auto"/>
            </w:tcBorders>
            <w:shd w:val="clear" w:color="auto" w:fill="auto"/>
            <w:textDirection w:val="btLr"/>
            <w:vAlign w:val="center"/>
            <w:hideMark/>
          </w:tcPr>
          <w:p w14:paraId="463A0A83" w14:textId="77777777" w:rsidR="00284F5A" w:rsidRPr="00E064CB" w:rsidRDefault="00284F5A" w:rsidP="000917B5">
            <w:pPr>
              <w:ind w:left="113" w:right="113"/>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Tr</w:t>
            </w:r>
          </w:p>
        </w:tc>
        <w:tc>
          <w:tcPr>
            <w:tcW w:w="238" w:type="pct"/>
            <w:tcBorders>
              <w:top w:val="nil"/>
              <w:left w:val="nil"/>
              <w:bottom w:val="single" w:sz="4" w:space="0" w:color="auto"/>
              <w:right w:val="single" w:sz="4" w:space="0" w:color="auto"/>
            </w:tcBorders>
            <w:shd w:val="clear" w:color="auto" w:fill="auto"/>
            <w:textDirection w:val="btLr"/>
            <w:vAlign w:val="center"/>
            <w:hideMark/>
          </w:tcPr>
          <w:p w14:paraId="3BB20E72" w14:textId="77777777" w:rsidR="00284F5A" w:rsidRPr="00E064CB" w:rsidRDefault="00284F5A" w:rsidP="000917B5">
            <w:pPr>
              <w:ind w:left="113" w:right="113"/>
              <w:jc w:val="center"/>
              <w:rPr>
                <w:rFonts w:ascii="Arial" w:eastAsia="Times New Roman" w:hAnsi="Arial" w:cs="Arial"/>
                <w:b/>
                <w:bCs/>
                <w:color w:val="000000"/>
                <w:sz w:val="16"/>
                <w:szCs w:val="16"/>
                <w:lang w:eastAsia="es-ES"/>
              </w:rPr>
            </w:pPr>
            <w:r w:rsidRPr="00E064CB">
              <w:rPr>
                <w:rFonts w:ascii="Arial" w:eastAsia="Times New Roman" w:hAnsi="Arial" w:cs="Arial"/>
                <w:b/>
                <w:bCs/>
                <w:color w:val="000000"/>
                <w:sz w:val="16"/>
                <w:szCs w:val="16"/>
                <w:lang w:eastAsia="es-ES"/>
              </w:rPr>
              <w:t xml:space="preserve">Año </w:t>
            </w:r>
          </w:p>
        </w:tc>
        <w:tc>
          <w:tcPr>
            <w:tcW w:w="1479" w:type="pct"/>
            <w:vMerge/>
            <w:tcBorders>
              <w:top w:val="single" w:sz="4" w:space="0" w:color="auto"/>
              <w:left w:val="single" w:sz="4" w:space="0" w:color="auto"/>
              <w:bottom w:val="single" w:sz="4" w:space="0" w:color="auto"/>
              <w:right w:val="single" w:sz="4" w:space="0" w:color="auto"/>
            </w:tcBorders>
            <w:vAlign w:val="center"/>
            <w:hideMark/>
          </w:tcPr>
          <w:p w14:paraId="38E0F080" w14:textId="77777777" w:rsidR="00284F5A" w:rsidRPr="00E064CB" w:rsidRDefault="00284F5A" w:rsidP="00284F5A">
            <w:pPr>
              <w:jc w:val="left"/>
              <w:rPr>
                <w:rFonts w:ascii="Arial" w:eastAsia="Times New Roman" w:hAnsi="Arial" w:cs="Arial"/>
                <w:b/>
                <w:bCs/>
                <w:color w:val="000000"/>
                <w:sz w:val="16"/>
                <w:szCs w:val="16"/>
                <w:lang w:eastAsia="es-ES"/>
              </w:rPr>
            </w:pPr>
          </w:p>
        </w:tc>
      </w:tr>
      <w:tr w:rsidR="000917B5" w:rsidRPr="000917B5" w14:paraId="25F3792E" w14:textId="77777777" w:rsidTr="00512BCC">
        <w:trPr>
          <w:trHeight w:val="3600"/>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7DB11631"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245</w:t>
            </w:r>
          </w:p>
        </w:tc>
        <w:tc>
          <w:tcPr>
            <w:tcW w:w="391" w:type="pct"/>
            <w:tcBorders>
              <w:top w:val="nil"/>
              <w:left w:val="nil"/>
              <w:bottom w:val="single" w:sz="4" w:space="0" w:color="auto"/>
              <w:right w:val="single" w:sz="4" w:space="0" w:color="auto"/>
            </w:tcBorders>
            <w:shd w:val="clear" w:color="auto" w:fill="auto"/>
            <w:vAlign w:val="center"/>
            <w:hideMark/>
          </w:tcPr>
          <w:p w14:paraId="0DAD55B5"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C15.I7 </w:t>
            </w:r>
          </w:p>
        </w:tc>
        <w:tc>
          <w:tcPr>
            <w:tcW w:w="426" w:type="pct"/>
            <w:tcBorders>
              <w:top w:val="nil"/>
              <w:left w:val="nil"/>
              <w:bottom w:val="single" w:sz="4" w:space="0" w:color="auto"/>
              <w:right w:val="single" w:sz="4" w:space="0" w:color="auto"/>
            </w:tcBorders>
            <w:shd w:val="clear" w:color="auto" w:fill="auto"/>
            <w:vAlign w:val="center"/>
            <w:hideMark/>
          </w:tcPr>
          <w:p w14:paraId="4DBDB6A0"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Hito </w:t>
            </w:r>
          </w:p>
        </w:tc>
        <w:tc>
          <w:tcPr>
            <w:tcW w:w="685" w:type="pct"/>
            <w:tcBorders>
              <w:top w:val="nil"/>
              <w:left w:val="nil"/>
              <w:bottom w:val="single" w:sz="4" w:space="0" w:color="auto"/>
              <w:right w:val="single" w:sz="4" w:space="0" w:color="auto"/>
            </w:tcBorders>
            <w:shd w:val="clear" w:color="auto" w:fill="auto"/>
            <w:vAlign w:val="center"/>
            <w:hideMark/>
          </w:tcPr>
          <w:p w14:paraId="021408F9"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Puesta en marcha del Programa de Impulso a la Industria de la Ciberseguridad Nacional, del Programa Global de Innovación en Seguridad y de las acciones conexas </w:t>
            </w:r>
          </w:p>
        </w:tc>
        <w:tc>
          <w:tcPr>
            <w:tcW w:w="587" w:type="pct"/>
            <w:tcBorders>
              <w:top w:val="nil"/>
              <w:left w:val="nil"/>
              <w:bottom w:val="single" w:sz="4" w:space="0" w:color="auto"/>
              <w:right w:val="single" w:sz="4" w:space="0" w:color="auto"/>
            </w:tcBorders>
            <w:shd w:val="clear" w:color="auto" w:fill="auto"/>
            <w:vAlign w:val="center"/>
            <w:hideMark/>
          </w:tcPr>
          <w:p w14:paraId="55A8DAB3"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Publicación de los programas </w:t>
            </w:r>
          </w:p>
        </w:tc>
        <w:tc>
          <w:tcPr>
            <w:tcW w:w="186" w:type="pct"/>
            <w:tcBorders>
              <w:top w:val="nil"/>
              <w:left w:val="nil"/>
              <w:bottom w:val="single" w:sz="4" w:space="0" w:color="auto"/>
              <w:right w:val="single" w:sz="4" w:space="0" w:color="auto"/>
            </w:tcBorders>
            <w:shd w:val="clear" w:color="auto" w:fill="auto"/>
            <w:vAlign w:val="bottom"/>
            <w:hideMark/>
          </w:tcPr>
          <w:p w14:paraId="49DADF3E"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w:t>
            </w:r>
          </w:p>
        </w:tc>
        <w:tc>
          <w:tcPr>
            <w:tcW w:w="299" w:type="pct"/>
            <w:tcBorders>
              <w:top w:val="nil"/>
              <w:left w:val="nil"/>
              <w:bottom w:val="single" w:sz="4" w:space="0" w:color="auto"/>
              <w:right w:val="single" w:sz="4" w:space="0" w:color="auto"/>
            </w:tcBorders>
            <w:shd w:val="clear" w:color="auto" w:fill="auto"/>
            <w:vAlign w:val="bottom"/>
            <w:hideMark/>
          </w:tcPr>
          <w:p w14:paraId="6CB332AD"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w:t>
            </w:r>
          </w:p>
        </w:tc>
        <w:tc>
          <w:tcPr>
            <w:tcW w:w="287" w:type="pct"/>
            <w:tcBorders>
              <w:top w:val="nil"/>
              <w:left w:val="nil"/>
              <w:bottom w:val="single" w:sz="4" w:space="0" w:color="auto"/>
              <w:right w:val="single" w:sz="4" w:space="0" w:color="auto"/>
            </w:tcBorders>
            <w:shd w:val="clear" w:color="auto" w:fill="auto"/>
            <w:vAlign w:val="bottom"/>
            <w:hideMark/>
          </w:tcPr>
          <w:p w14:paraId="31ABF8EE"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w:t>
            </w:r>
          </w:p>
        </w:tc>
        <w:tc>
          <w:tcPr>
            <w:tcW w:w="229" w:type="pct"/>
            <w:tcBorders>
              <w:top w:val="nil"/>
              <w:left w:val="nil"/>
              <w:bottom w:val="single" w:sz="4" w:space="0" w:color="auto"/>
              <w:right w:val="single" w:sz="4" w:space="0" w:color="auto"/>
            </w:tcBorders>
            <w:shd w:val="clear" w:color="auto" w:fill="auto"/>
            <w:vAlign w:val="center"/>
            <w:hideMark/>
          </w:tcPr>
          <w:p w14:paraId="2D799376"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T4 </w:t>
            </w:r>
          </w:p>
        </w:tc>
        <w:tc>
          <w:tcPr>
            <w:tcW w:w="238" w:type="pct"/>
            <w:tcBorders>
              <w:top w:val="nil"/>
              <w:left w:val="nil"/>
              <w:bottom w:val="single" w:sz="4" w:space="0" w:color="auto"/>
              <w:right w:val="single" w:sz="4" w:space="0" w:color="auto"/>
            </w:tcBorders>
            <w:shd w:val="clear" w:color="auto" w:fill="auto"/>
            <w:vAlign w:val="center"/>
            <w:hideMark/>
          </w:tcPr>
          <w:p w14:paraId="2C1AD6E8"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2022</w:t>
            </w:r>
          </w:p>
        </w:tc>
        <w:tc>
          <w:tcPr>
            <w:tcW w:w="1479" w:type="pct"/>
            <w:tcBorders>
              <w:top w:val="nil"/>
              <w:left w:val="nil"/>
              <w:bottom w:val="single" w:sz="4" w:space="0" w:color="auto"/>
              <w:right w:val="single" w:sz="4" w:space="0" w:color="auto"/>
            </w:tcBorders>
            <w:shd w:val="clear" w:color="auto" w:fill="auto"/>
            <w:vAlign w:val="center"/>
            <w:hideMark/>
          </w:tcPr>
          <w:p w14:paraId="1CB34F3C"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Puesta en marcha del Programa de Impulso a la Industria de la Ciberseguridad Nacional y del Programa Global de Innovación en Seguridad y de otras acciones conexas (con la adjudicación de un presupuesto total de 418 000 000 EUR), que incide en aspectos clave de esta industria, tales como: </w:t>
            </w:r>
            <w:r w:rsidRPr="000917B5">
              <w:rPr>
                <w:rFonts w:ascii="Arial" w:eastAsia="Times New Roman" w:hAnsi="Arial" w:cs="Arial"/>
                <w:color w:val="000000"/>
                <w:sz w:val="12"/>
                <w:szCs w:val="16"/>
                <w:lang w:eastAsia="es-ES"/>
              </w:rPr>
              <w:br/>
              <w:t xml:space="preserve">- el impulso de la industria de ciberseguridad nacional con vistas al surgimiento, el crecimiento y el desarrollo de nuevas empresas en este sector; </w:t>
            </w:r>
            <w:r w:rsidRPr="000917B5">
              <w:rPr>
                <w:rFonts w:ascii="Arial" w:eastAsia="Times New Roman" w:hAnsi="Arial" w:cs="Arial"/>
                <w:color w:val="000000"/>
                <w:sz w:val="12"/>
                <w:szCs w:val="16"/>
                <w:lang w:eastAsia="es-ES"/>
              </w:rPr>
              <w:br/>
              <w:t xml:space="preserve">- el desarrollo de soluciones y servicios de elevado valor añadido en el ámbito de la ciberseguridad; </w:t>
            </w:r>
            <w:r w:rsidRPr="000917B5">
              <w:rPr>
                <w:rFonts w:ascii="Arial" w:eastAsia="Times New Roman" w:hAnsi="Arial" w:cs="Arial"/>
                <w:color w:val="000000"/>
                <w:sz w:val="12"/>
                <w:szCs w:val="16"/>
                <w:lang w:eastAsia="es-ES"/>
              </w:rPr>
              <w:br/>
              <w:t xml:space="preserve">- la formación y capacitación de personas con talento especializadas en el ámbito de la ciberseguridad; </w:t>
            </w:r>
            <w:r w:rsidRPr="000917B5">
              <w:rPr>
                <w:rFonts w:ascii="Arial" w:eastAsia="Times New Roman" w:hAnsi="Arial" w:cs="Arial"/>
                <w:color w:val="000000"/>
                <w:sz w:val="12"/>
                <w:szCs w:val="16"/>
                <w:lang w:eastAsia="es-ES"/>
              </w:rPr>
              <w:br/>
              <w:t xml:space="preserve">- las acciones de internacionalización en el ámbito de la ciberseguridad; </w:t>
            </w:r>
            <w:r w:rsidRPr="000917B5">
              <w:rPr>
                <w:rFonts w:ascii="Arial" w:eastAsia="Times New Roman" w:hAnsi="Arial" w:cs="Arial"/>
                <w:color w:val="000000"/>
                <w:sz w:val="12"/>
                <w:szCs w:val="16"/>
                <w:lang w:eastAsia="es-ES"/>
              </w:rPr>
              <w:br/>
              <w:t xml:space="preserve">- la implantación de un centro demostrador para el desarrollo de infraestructura de ciberseguridad y la creación de nuevos servicios de ciberseguridad, incluidos laboratorios de ensayo y simuladores de ciberataques; </w:t>
            </w:r>
            <w:r w:rsidRPr="000917B5">
              <w:rPr>
                <w:rFonts w:ascii="Arial" w:eastAsia="Times New Roman" w:hAnsi="Arial" w:cs="Arial"/>
                <w:color w:val="000000"/>
                <w:sz w:val="12"/>
                <w:szCs w:val="16"/>
                <w:lang w:eastAsia="es-ES"/>
              </w:rPr>
              <w:br/>
              <w:t xml:space="preserve">- el desarrollo de certificaciones para la etiqueta de ciberseguridad. </w:t>
            </w:r>
          </w:p>
        </w:tc>
      </w:tr>
      <w:tr w:rsidR="000917B5" w:rsidRPr="000917B5" w14:paraId="2824589B" w14:textId="77777777" w:rsidTr="00512BCC">
        <w:trPr>
          <w:trHeight w:val="1500"/>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087C9F06"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246</w:t>
            </w:r>
          </w:p>
        </w:tc>
        <w:tc>
          <w:tcPr>
            <w:tcW w:w="391" w:type="pct"/>
            <w:tcBorders>
              <w:top w:val="nil"/>
              <w:left w:val="nil"/>
              <w:bottom w:val="single" w:sz="4" w:space="0" w:color="auto"/>
              <w:right w:val="single" w:sz="4" w:space="0" w:color="auto"/>
            </w:tcBorders>
            <w:shd w:val="clear" w:color="auto" w:fill="auto"/>
            <w:vAlign w:val="center"/>
            <w:hideMark/>
          </w:tcPr>
          <w:p w14:paraId="2FED5D55"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C15.I7 </w:t>
            </w:r>
          </w:p>
        </w:tc>
        <w:tc>
          <w:tcPr>
            <w:tcW w:w="426" w:type="pct"/>
            <w:tcBorders>
              <w:top w:val="nil"/>
              <w:left w:val="nil"/>
              <w:bottom w:val="single" w:sz="4" w:space="0" w:color="auto"/>
              <w:right w:val="single" w:sz="4" w:space="0" w:color="auto"/>
            </w:tcBorders>
            <w:shd w:val="clear" w:color="auto" w:fill="auto"/>
            <w:vAlign w:val="center"/>
            <w:hideMark/>
          </w:tcPr>
          <w:p w14:paraId="4022498A"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Objetivo </w:t>
            </w:r>
          </w:p>
        </w:tc>
        <w:tc>
          <w:tcPr>
            <w:tcW w:w="685" w:type="pct"/>
            <w:tcBorders>
              <w:top w:val="nil"/>
              <w:left w:val="nil"/>
              <w:bottom w:val="single" w:sz="4" w:space="0" w:color="auto"/>
              <w:right w:val="single" w:sz="4" w:space="0" w:color="auto"/>
            </w:tcBorders>
            <w:shd w:val="clear" w:color="auto" w:fill="auto"/>
            <w:vAlign w:val="center"/>
            <w:hideMark/>
          </w:tcPr>
          <w:p w14:paraId="7E6C0DCB"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Fortalecimiento y mejora de las capacidades de ciberseguridad: recursos </w:t>
            </w:r>
          </w:p>
        </w:tc>
        <w:tc>
          <w:tcPr>
            <w:tcW w:w="587" w:type="pct"/>
            <w:tcBorders>
              <w:top w:val="nil"/>
              <w:left w:val="nil"/>
              <w:bottom w:val="single" w:sz="4" w:space="0" w:color="auto"/>
              <w:right w:val="single" w:sz="4" w:space="0" w:color="auto"/>
            </w:tcBorders>
            <w:shd w:val="clear" w:color="auto" w:fill="auto"/>
            <w:vAlign w:val="bottom"/>
            <w:hideMark/>
          </w:tcPr>
          <w:p w14:paraId="125A1CB6"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w:t>
            </w:r>
          </w:p>
        </w:tc>
        <w:tc>
          <w:tcPr>
            <w:tcW w:w="186" w:type="pct"/>
            <w:tcBorders>
              <w:top w:val="nil"/>
              <w:left w:val="nil"/>
              <w:bottom w:val="single" w:sz="4" w:space="0" w:color="auto"/>
              <w:right w:val="single" w:sz="4" w:space="0" w:color="auto"/>
            </w:tcBorders>
            <w:shd w:val="clear" w:color="auto" w:fill="auto"/>
            <w:vAlign w:val="center"/>
            <w:hideMark/>
          </w:tcPr>
          <w:p w14:paraId="260C1E40"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Nº</w:t>
            </w:r>
          </w:p>
        </w:tc>
        <w:tc>
          <w:tcPr>
            <w:tcW w:w="299" w:type="pct"/>
            <w:tcBorders>
              <w:top w:val="nil"/>
              <w:left w:val="nil"/>
              <w:bottom w:val="single" w:sz="4" w:space="0" w:color="auto"/>
              <w:right w:val="single" w:sz="4" w:space="0" w:color="auto"/>
            </w:tcBorders>
            <w:shd w:val="clear" w:color="auto" w:fill="auto"/>
            <w:vAlign w:val="center"/>
            <w:hideMark/>
          </w:tcPr>
          <w:p w14:paraId="39F15691"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0</w:t>
            </w:r>
          </w:p>
        </w:tc>
        <w:tc>
          <w:tcPr>
            <w:tcW w:w="287" w:type="pct"/>
            <w:tcBorders>
              <w:top w:val="nil"/>
              <w:left w:val="nil"/>
              <w:bottom w:val="single" w:sz="4" w:space="0" w:color="auto"/>
              <w:right w:val="single" w:sz="4" w:space="0" w:color="auto"/>
            </w:tcBorders>
            <w:shd w:val="clear" w:color="auto" w:fill="auto"/>
            <w:vAlign w:val="center"/>
            <w:hideMark/>
          </w:tcPr>
          <w:p w14:paraId="7A92BFEE"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100</w:t>
            </w:r>
          </w:p>
        </w:tc>
        <w:tc>
          <w:tcPr>
            <w:tcW w:w="229" w:type="pct"/>
            <w:tcBorders>
              <w:top w:val="nil"/>
              <w:left w:val="nil"/>
              <w:bottom w:val="single" w:sz="4" w:space="0" w:color="auto"/>
              <w:right w:val="single" w:sz="4" w:space="0" w:color="auto"/>
            </w:tcBorders>
            <w:shd w:val="clear" w:color="auto" w:fill="auto"/>
            <w:vAlign w:val="center"/>
            <w:hideMark/>
          </w:tcPr>
          <w:p w14:paraId="6ADA03B2"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T4 </w:t>
            </w:r>
          </w:p>
        </w:tc>
        <w:tc>
          <w:tcPr>
            <w:tcW w:w="238" w:type="pct"/>
            <w:tcBorders>
              <w:top w:val="nil"/>
              <w:left w:val="nil"/>
              <w:bottom w:val="single" w:sz="4" w:space="0" w:color="auto"/>
              <w:right w:val="single" w:sz="4" w:space="0" w:color="auto"/>
            </w:tcBorders>
            <w:shd w:val="clear" w:color="auto" w:fill="auto"/>
            <w:vAlign w:val="center"/>
            <w:hideMark/>
          </w:tcPr>
          <w:p w14:paraId="48CCB5C8"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2023</w:t>
            </w:r>
          </w:p>
        </w:tc>
        <w:tc>
          <w:tcPr>
            <w:tcW w:w="1479" w:type="pct"/>
            <w:tcBorders>
              <w:top w:val="nil"/>
              <w:left w:val="nil"/>
              <w:bottom w:val="single" w:sz="4" w:space="0" w:color="auto"/>
              <w:right w:val="single" w:sz="4" w:space="0" w:color="auto"/>
            </w:tcBorders>
            <w:shd w:val="clear" w:color="auto" w:fill="auto"/>
            <w:vAlign w:val="center"/>
            <w:hideMark/>
          </w:tcPr>
          <w:p w14:paraId="706685B5"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Fortalecimiento y mejora de las capacidades de ciberseguridad mediante la aportación de al menos 100 recursos para actuaciones de sensibilización y comunicación en el ámbito de la ciberseguridad. Las competencias digitales en ciberseguridad se desarrollarán en todos los niveles educativos, mediante el desarrollo de recursos, herramientas y materiales específicos. Además, se creará un nodo internacional en ciberseguridad que estará integrado en la Red Europea de Centros de Ciberseguridad.</w:t>
            </w:r>
          </w:p>
        </w:tc>
      </w:tr>
      <w:tr w:rsidR="000917B5" w:rsidRPr="000917B5" w14:paraId="71637ADE" w14:textId="77777777" w:rsidTr="00512BCC">
        <w:trPr>
          <w:trHeight w:val="1200"/>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156802DC"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247</w:t>
            </w:r>
          </w:p>
        </w:tc>
        <w:tc>
          <w:tcPr>
            <w:tcW w:w="391" w:type="pct"/>
            <w:tcBorders>
              <w:top w:val="nil"/>
              <w:left w:val="nil"/>
              <w:bottom w:val="single" w:sz="4" w:space="0" w:color="auto"/>
              <w:right w:val="single" w:sz="4" w:space="0" w:color="auto"/>
            </w:tcBorders>
            <w:shd w:val="clear" w:color="auto" w:fill="auto"/>
            <w:vAlign w:val="center"/>
            <w:hideMark/>
          </w:tcPr>
          <w:p w14:paraId="52426F83"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C15.I7 </w:t>
            </w:r>
          </w:p>
        </w:tc>
        <w:tc>
          <w:tcPr>
            <w:tcW w:w="426" w:type="pct"/>
            <w:tcBorders>
              <w:top w:val="nil"/>
              <w:left w:val="nil"/>
              <w:bottom w:val="single" w:sz="4" w:space="0" w:color="auto"/>
              <w:right w:val="single" w:sz="4" w:space="0" w:color="auto"/>
            </w:tcBorders>
            <w:shd w:val="clear" w:color="auto" w:fill="auto"/>
            <w:vAlign w:val="center"/>
            <w:hideMark/>
          </w:tcPr>
          <w:p w14:paraId="59BCDA44"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Objetivo </w:t>
            </w:r>
          </w:p>
        </w:tc>
        <w:tc>
          <w:tcPr>
            <w:tcW w:w="685" w:type="pct"/>
            <w:tcBorders>
              <w:top w:val="nil"/>
              <w:left w:val="nil"/>
              <w:bottom w:val="single" w:sz="4" w:space="0" w:color="auto"/>
              <w:right w:val="single" w:sz="4" w:space="0" w:color="auto"/>
            </w:tcBorders>
            <w:shd w:val="clear" w:color="auto" w:fill="auto"/>
            <w:vAlign w:val="center"/>
            <w:hideMark/>
          </w:tcPr>
          <w:p w14:paraId="3D0E4F33"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Fortalecimiento y mejora de las capacidades de ciberseguridad: línea de ayuda en ciberseguridad </w:t>
            </w:r>
          </w:p>
        </w:tc>
        <w:tc>
          <w:tcPr>
            <w:tcW w:w="587" w:type="pct"/>
            <w:tcBorders>
              <w:top w:val="nil"/>
              <w:left w:val="nil"/>
              <w:bottom w:val="single" w:sz="4" w:space="0" w:color="auto"/>
              <w:right w:val="single" w:sz="4" w:space="0" w:color="auto"/>
            </w:tcBorders>
            <w:shd w:val="clear" w:color="auto" w:fill="auto"/>
            <w:vAlign w:val="bottom"/>
            <w:hideMark/>
          </w:tcPr>
          <w:p w14:paraId="690131F7"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w:t>
            </w:r>
          </w:p>
        </w:tc>
        <w:tc>
          <w:tcPr>
            <w:tcW w:w="186" w:type="pct"/>
            <w:tcBorders>
              <w:top w:val="nil"/>
              <w:left w:val="nil"/>
              <w:bottom w:val="single" w:sz="4" w:space="0" w:color="auto"/>
              <w:right w:val="single" w:sz="4" w:space="0" w:color="auto"/>
            </w:tcBorders>
            <w:shd w:val="clear" w:color="auto" w:fill="auto"/>
            <w:vAlign w:val="center"/>
            <w:hideMark/>
          </w:tcPr>
          <w:p w14:paraId="6DE6B3C8"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Nº</w:t>
            </w:r>
          </w:p>
        </w:tc>
        <w:tc>
          <w:tcPr>
            <w:tcW w:w="299" w:type="pct"/>
            <w:tcBorders>
              <w:top w:val="nil"/>
              <w:left w:val="nil"/>
              <w:bottom w:val="single" w:sz="4" w:space="0" w:color="auto"/>
              <w:right w:val="single" w:sz="4" w:space="0" w:color="auto"/>
            </w:tcBorders>
            <w:shd w:val="clear" w:color="auto" w:fill="auto"/>
            <w:vAlign w:val="center"/>
            <w:hideMark/>
          </w:tcPr>
          <w:p w14:paraId="468C04CE"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5.000</w:t>
            </w:r>
          </w:p>
        </w:tc>
        <w:tc>
          <w:tcPr>
            <w:tcW w:w="287" w:type="pct"/>
            <w:tcBorders>
              <w:top w:val="nil"/>
              <w:left w:val="nil"/>
              <w:bottom w:val="single" w:sz="4" w:space="0" w:color="auto"/>
              <w:right w:val="single" w:sz="4" w:space="0" w:color="auto"/>
            </w:tcBorders>
            <w:shd w:val="clear" w:color="auto" w:fill="auto"/>
            <w:vAlign w:val="center"/>
            <w:hideMark/>
          </w:tcPr>
          <w:p w14:paraId="04A12423"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20.000</w:t>
            </w:r>
          </w:p>
        </w:tc>
        <w:tc>
          <w:tcPr>
            <w:tcW w:w="229" w:type="pct"/>
            <w:tcBorders>
              <w:top w:val="nil"/>
              <w:left w:val="nil"/>
              <w:bottom w:val="single" w:sz="4" w:space="0" w:color="auto"/>
              <w:right w:val="single" w:sz="4" w:space="0" w:color="auto"/>
            </w:tcBorders>
            <w:shd w:val="clear" w:color="auto" w:fill="auto"/>
            <w:vAlign w:val="center"/>
            <w:hideMark/>
          </w:tcPr>
          <w:p w14:paraId="34F40943"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T4 </w:t>
            </w:r>
          </w:p>
        </w:tc>
        <w:tc>
          <w:tcPr>
            <w:tcW w:w="238" w:type="pct"/>
            <w:tcBorders>
              <w:top w:val="nil"/>
              <w:left w:val="nil"/>
              <w:bottom w:val="single" w:sz="4" w:space="0" w:color="auto"/>
              <w:right w:val="single" w:sz="4" w:space="0" w:color="auto"/>
            </w:tcBorders>
            <w:shd w:val="clear" w:color="auto" w:fill="auto"/>
            <w:vAlign w:val="center"/>
            <w:hideMark/>
          </w:tcPr>
          <w:p w14:paraId="1114322C"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2023</w:t>
            </w:r>
          </w:p>
        </w:tc>
        <w:tc>
          <w:tcPr>
            <w:tcW w:w="1479" w:type="pct"/>
            <w:tcBorders>
              <w:top w:val="nil"/>
              <w:left w:val="nil"/>
              <w:bottom w:val="single" w:sz="4" w:space="0" w:color="auto"/>
              <w:right w:val="single" w:sz="4" w:space="0" w:color="auto"/>
            </w:tcBorders>
            <w:shd w:val="clear" w:color="auto" w:fill="auto"/>
            <w:vAlign w:val="center"/>
            <w:hideMark/>
          </w:tcPr>
          <w:p w14:paraId="4ED58BDD"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Fortalecimiento de las capacidades de ciberseguridad mediante la mejora de la línea de ayuda en ciberseguridad del Instituto Nacional de Ciberseguridad (INCIBE), con una capacidad mensual de tramitación de 20 000 llamadas. Esta línea de ayuda también apoyará la retirada de material sobre abusos sexuales a menores de los recursos web (CSAM). </w:t>
            </w:r>
          </w:p>
        </w:tc>
      </w:tr>
      <w:tr w:rsidR="000917B5" w:rsidRPr="000917B5" w14:paraId="26EED557" w14:textId="77777777" w:rsidTr="00512BCC">
        <w:trPr>
          <w:trHeight w:val="3000"/>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106D91D5"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lastRenderedPageBreak/>
              <w:t>248</w:t>
            </w:r>
          </w:p>
        </w:tc>
        <w:tc>
          <w:tcPr>
            <w:tcW w:w="391" w:type="pct"/>
            <w:tcBorders>
              <w:top w:val="nil"/>
              <w:left w:val="nil"/>
              <w:bottom w:val="single" w:sz="4" w:space="0" w:color="auto"/>
              <w:right w:val="single" w:sz="4" w:space="0" w:color="auto"/>
            </w:tcBorders>
            <w:shd w:val="clear" w:color="auto" w:fill="auto"/>
            <w:vAlign w:val="center"/>
            <w:hideMark/>
          </w:tcPr>
          <w:p w14:paraId="56806388" w14:textId="77777777" w:rsidR="00284F5A" w:rsidRPr="000917B5" w:rsidRDefault="00284F5A" w:rsidP="00E064CB">
            <w:pPr>
              <w:spacing w:before="60"/>
              <w:jc w:val="center"/>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C15.I7 </w:t>
            </w:r>
          </w:p>
        </w:tc>
        <w:tc>
          <w:tcPr>
            <w:tcW w:w="426" w:type="pct"/>
            <w:tcBorders>
              <w:top w:val="nil"/>
              <w:left w:val="nil"/>
              <w:bottom w:val="single" w:sz="4" w:space="0" w:color="auto"/>
              <w:right w:val="single" w:sz="4" w:space="0" w:color="auto"/>
            </w:tcBorders>
            <w:shd w:val="clear" w:color="auto" w:fill="auto"/>
            <w:vAlign w:val="center"/>
            <w:hideMark/>
          </w:tcPr>
          <w:p w14:paraId="1677395E"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Hito </w:t>
            </w:r>
          </w:p>
        </w:tc>
        <w:tc>
          <w:tcPr>
            <w:tcW w:w="685" w:type="pct"/>
            <w:tcBorders>
              <w:top w:val="nil"/>
              <w:left w:val="nil"/>
              <w:bottom w:val="single" w:sz="4" w:space="0" w:color="auto"/>
              <w:right w:val="single" w:sz="4" w:space="0" w:color="auto"/>
            </w:tcBorders>
            <w:shd w:val="clear" w:color="auto" w:fill="auto"/>
            <w:vAlign w:val="center"/>
            <w:hideMark/>
          </w:tcPr>
          <w:p w14:paraId="76E08045"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Finalización de los proyectos del Programa de Impulso a la Industria de la Ciberseguridad Nacional, del Programa Global de Innovación en Seguridad y de las acciones conexas </w:t>
            </w:r>
          </w:p>
        </w:tc>
        <w:tc>
          <w:tcPr>
            <w:tcW w:w="587" w:type="pct"/>
            <w:tcBorders>
              <w:top w:val="nil"/>
              <w:left w:val="nil"/>
              <w:bottom w:val="single" w:sz="4" w:space="0" w:color="auto"/>
              <w:right w:val="single" w:sz="4" w:space="0" w:color="auto"/>
            </w:tcBorders>
            <w:shd w:val="clear" w:color="auto" w:fill="auto"/>
            <w:vAlign w:val="center"/>
            <w:hideMark/>
          </w:tcPr>
          <w:p w14:paraId="1DA5CEF4"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Notificación de la finalización de los proyectos de inversión </w:t>
            </w:r>
          </w:p>
        </w:tc>
        <w:tc>
          <w:tcPr>
            <w:tcW w:w="186" w:type="pct"/>
            <w:tcBorders>
              <w:top w:val="nil"/>
              <w:left w:val="nil"/>
              <w:bottom w:val="single" w:sz="4" w:space="0" w:color="auto"/>
              <w:right w:val="single" w:sz="4" w:space="0" w:color="auto"/>
            </w:tcBorders>
            <w:shd w:val="clear" w:color="auto" w:fill="auto"/>
            <w:vAlign w:val="bottom"/>
          </w:tcPr>
          <w:p w14:paraId="7D013217" w14:textId="03AE0141" w:rsidR="00284F5A" w:rsidRPr="000917B5" w:rsidRDefault="00284F5A" w:rsidP="00E064CB">
            <w:pPr>
              <w:spacing w:before="60"/>
              <w:jc w:val="center"/>
              <w:rPr>
                <w:rFonts w:ascii="Arial" w:eastAsia="Times New Roman" w:hAnsi="Arial" w:cs="Arial"/>
                <w:color w:val="000000"/>
                <w:sz w:val="12"/>
                <w:szCs w:val="16"/>
                <w:lang w:eastAsia="es-ES"/>
              </w:rPr>
            </w:pPr>
          </w:p>
        </w:tc>
        <w:tc>
          <w:tcPr>
            <w:tcW w:w="299" w:type="pct"/>
            <w:tcBorders>
              <w:top w:val="nil"/>
              <w:left w:val="nil"/>
              <w:bottom w:val="single" w:sz="4" w:space="0" w:color="auto"/>
              <w:right w:val="single" w:sz="4" w:space="0" w:color="auto"/>
            </w:tcBorders>
            <w:shd w:val="clear" w:color="auto" w:fill="auto"/>
            <w:vAlign w:val="bottom"/>
          </w:tcPr>
          <w:p w14:paraId="31EB9930" w14:textId="5D5E3F44" w:rsidR="00284F5A" w:rsidRPr="000917B5" w:rsidRDefault="00284F5A" w:rsidP="00E064CB">
            <w:pPr>
              <w:spacing w:before="60"/>
              <w:jc w:val="right"/>
              <w:rPr>
                <w:rFonts w:ascii="Arial" w:eastAsia="Times New Roman" w:hAnsi="Arial" w:cs="Arial"/>
                <w:color w:val="000000"/>
                <w:sz w:val="12"/>
                <w:szCs w:val="16"/>
                <w:lang w:eastAsia="es-ES"/>
              </w:rPr>
            </w:pPr>
          </w:p>
        </w:tc>
        <w:tc>
          <w:tcPr>
            <w:tcW w:w="287" w:type="pct"/>
            <w:tcBorders>
              <w:top w:val="nil"/>
              <w:left w:val="nil"/>
              <w:bottom w:val="single" w:sz="4" w:space="0" w:color="auto"/>
              <w:right w:val="single" w:sz="4" w:space="0" w:color="auto"/>
            </w:tcBorders>
            <w:shd w:val="clear" w:color="auto" w:fill="auto"/>
            <w:vAlign w:val="bottom"/>
          </w:tcPr>
          <w:p w14:paraId="36609197" w14:textId="51344595" w:rsidR="00284F5A" w:rsidRPr="000917B5" w:rsidRDefault="00284F5A" w:rsidP="00E064CB">
            <w:pPr>
              <w:spacing w:before="60"/>
              <w:jc w:val="right"/>
              <w:rPr>
                <w:rFonts w:ascii="Arial" w:eastAsia="Times New Roman" w:hAnsi="Arial" w:cs="Arial"/>
                <w:color w:val="000000"/>
                <w:sz w:val="12"/>
                <w:szCs w:val="16"/>
                <w:lang w:eastAsia="es-ES"/>
              </w:rPr>
            </w:pPr>
          </w:p>
        </w:tc>
        <w:tc>
          <w:tcPr>
            <w:tcW w:w="229" w:type="pct"/>
            <w:tcBorders>
              <w:top w:val="nil"/>
              <w:left w:val="nil"/>
              <w:bottom w:val="single" w:sz="4" w:space="0" w:color="auto"/>
              <w:right w:val="single" w:sz="4" w:space="0" w:color="auto"/>
            </w:tcBorders>
            <w:shd w:val="clear" w:color="auto" w:fill="auto"/>
            <w:vAlign w:val="center"/>
            <w:hideMark/>
          </w:tcPr>
          <w:p w14:paraId="31BE2ED0"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T2 </w:t>
            </w:r>
          </w:p>
        </w:tc>
        <w:tc>
          <w:tcPr>
            <w:tcW w:w="238" w:type="pct"/>
            <w:tcBorders>
              <w:top w:val="nil"/>
              <w:left w:val="nil"/>
              <w:bottom w:val="single" w:sz="4" w:space="0" w:color="auto"/>
              <w:right w:val="single" w:sz="4" w:space="0" w:color="auto"/>
            </w:tcBorders>
            <w:shd w:val="clear" w:color="auto" w:fill="auto"/>
            <w:vAlign w:val="center"/>
            <w:hideMark/>
          </w:tcPr>
          <w:p w14:paraId="6816BD0C" w14:textId="77777777" w:rsidR="00284F5A" w:rsidRPr="000917B5" w:rsidRDefault="00284F5A" w:rsidP="00E064CB">
            <w:pPr>
              <w:spacing w:before="60"/>
              <w:jc w:val="righ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2026</w:t>
            </w:r>
          </w:p>
        </w:tc>
        <w:tc>
          <w:tcPr>
            <w:tcW w:w="1479" w:type="pct"/>
            <w:tcBorders>
              <w:top w:val="nil"/>
              <w:left w:val="nil"/>
              <w:bottom w:val="single" w:sz="4" w:space="0" w:color="auto"/>
              <w:right w:val="single" w:sz="4" w:space="0" w:color="auto"/>
            </w:tcBorders>
            <w:shd w:val="clear" w:color="auto" w:fill="auto"/>
            <w:vAlign w:val="center"/>
            <w:hideMark/>
          </w:tcPr>
          <w:p w14:paraId="4B5F6D3F" w14:textId="77777777" w:rsidR="00284F5A" w:rsidRPr="000917B5" w:rsidRDefault="00284F5A" w:rsidP="00E064CB">
            <w:pPr>
              <w:spacing w:before="60"/>
              <w:jc w:val="left"/>
              <w:rPr>
                <w:rFonts w:ascii="Arial" w:eastAsia="Times New Roman" w:hAnsi="Arial" w:cs="Arial"/>
                <w:color w:val="000000"/>
                <w:sz w:val="12"/>
                <w:szCs w:val="16"/>
                <w:lang w:eastAsia="es-ES"/>
              </w:rPr>
            </w:pPr>
            <w:r w:rsidRPr="000917B5">
              <w:rPr>
                <w:rFonts w:ascii="Arial" w:eastAsia="Times New Roman" w:hAnsi="Arial" w:cs="Arial"/>
                <w:color w:val="000000"/>
                <w:sz w:val="12"/>
                <w:szCs w:val="16"/>
                <w:lang w:eastAsia="es-ES"/>
              </w:rPr>
              <w:t xml:space="preserve">Finalización de los proyectos incluidos en el Programa de Impulso a la Industria de la Ciberseguridad Nacional y el Programa Global de Innovación en Seguridad , y otras acciones conexas en los siguientes ámbitos (adjudicados en el Hito 245): </w:t>
            </w:r>
            <w:r w:rsidRPr="000917B5">
              <w:rPr>
                <w:rFonts w:ascii="Arial" w:eastAsia="Times New Roman" w:hAnsi="Arial" w:cs="Arial"/>
                <w:color w:val="000000"/>
                <w:sz w:val="12"/>
                <w:szCs w:val="16"/>
                <w:lang w:eastAsia="es-ES"/>
              </w:rPr>
              <w:br/>
              <w:t xml:space="preserve">- el impulso de la industria de ciberseguridad nacional con vistas al surgimiento, el crecimiento y el desarrollo de nuevas empresas en este sector; </w:t>
            </w:r>
            <w:r w:rsidRPr="000917B5">
              <w:rPr>
                <w:rFonts w:ascii="Arial" w:eastAsia="Times New Roman" w:hAnsi="Arial" w:cs="Arial"/>
                <w:color w:val="000000"/>
                <w:sz w:val="12"/>
                <w:szCs w:val="16"/>
                <w:lang w:eastAsia="es-ES"/>
              </w:rPr>
              <w:br/>
              <w:t xml:space="preserve">- el desarrollo de soluciones y servicios de elevado valor añadido en el ámbito de la ciberseguridad; </w:t>
            </w:r>
            <w:r w:rsidRPr="000917B5">
              <w:rPr>
                <w:rFonts w:ascii="Arial" w:eastAsia="Times New Roman" w:hAnsi="Arial" w:cs="Arial"/>
                <w:color w:val="000000"/>
                <w:sz w:val="12"/>
                <w:szCs w:val="16"/>
                <w:lang w:eastAsia="es-ES"/>
              </w:rPr>
              <w:br/>
              <w:t xml:space="preserve">- la formación y capacitación de personas con talento especializadas en el ámbito de la ciberseguridad; </w:t>
            </w:r>
            <w:r w:rsidRPr="000917B5">
              <w:rPr>
                <w:rFonts w:ascii="Arial" w:eastAsia="Times New Roman" w:hAnsi="Arial" w:cs="Arial"/>
                <w:color w:val="000000"/>
                <w:sz w:val="12"/>
                <w:szCs w:val="16"/>
                <w:lang w:eastAsia="es-ES"/>
              </w:rPr>
              <w:br/>
              <w:t xml:space="preserve">- las acciones de internacionalización en el ámbito de la ciberseguridad; </w:t>
            </w:r>
            <w:r w:rsidRPr="000917B5">
              <w:rPr>
                <w:rFonts w:ascii="Arial" w:eastAsia="Times New Roman" w:hAnsi="Arial" w:cs="Arial"/>
                <w:color w:val="000000"/>
                <w:sz w:val="12"/>
                <w:szCs w:val="16"/>
                <w:lang w:eastAsia="es-ES"/>
              </w:rPr>
              <w:br/>
              <w:t xml:space="preserve">- la implantación de un centro demostrador para el desarrollo de infraestructura de ciberseguridad y la creación de nuevos servicios de ciberseguridad, incluidos laboratorios de ensayo y simuladores de ciberataques; </w:t>
            </w:r>
            <w:r w:rsidRPr="000917B5">
              <w:rPr>
                <w:rFonts w:ascii="Arial" w:eastAsia="Times New Roman" w:hAnsi="Arial" w:cs="Arial"/>
                <w:color w:val="000000"/>
                <w:sz w:val="12"/>
                <w:szCs w:val="16"/>
                <w:lang w:eastAsia="es-ES"/>
              </w:rPr>
              <w:br/>
              <w:t xml:space="preserve">- el desarrollo de certificaciones para la etiqueta de ciberseguridad. </w:t>
            </w:r>
          </w:p>
        </w:tc>
      </w:tr>
    </w:tbl>
    <w:p w14:paraId="43D81C17" w14:textId="45326E3E" w:rsidR="00BE1776" w:rsidRDefault="00BE1776" w:rsidP="00CE65B5">
      <w:pPr>
        <w:pStyle w:val="Prrafodelista"/>
        <w:tabs>
          <w:tab w:val="left" w:pos="567"/>
        </w:tabs>
        <w:spacing w:before="360" w:after="120" w:line="360" w:lineRule="exact"/>
        <w:ind w:left="0"/>
        <w:contextualSpacing w:val="0"/>
        <w:jc w:val="left"/>
        <w:rPr>
          <w:rFonts w:ascii="Arial" w:hAnsi="Arial" w:cs="Arial"/>
          <w:b/>
        </w:rPr>
      </w:pPr>
      <w:r>
        <w:rPr>
          <w:rFonts w:ascii="Arial" w:hAnsi="Arial" w:cs="Arial"/>
          <w:b/>
        </w:rPr>
        <w:t>C</w:t>
      </w:r>
      <w:r w:rsidR="00906F98">
        <w:rPr>
          <w:rFonts w:ascii="Arial" w:hAnsi="Arial" w:cs="Arial"/>
          <w:b/>
        </w:rPr>
        <w:t>ENTRO GESTOR RESPONSABLE</w:t>
      </w:r>
    </w:p>
    <w:p w14:paraId="6BA8CA61" w14:textId="7A4D1A28" w:rsidR="003C0D63" w:rsidRPr="00E064CB" w:rsidRDefault="00BE1776" w:rsidP="00906F98">
      <w:pPr>
        <w:pStyle w:val="Prrafodelista"/>
        <w:tabs>
          <w:tab w:val="left" w:pos="567"/>
        </w:tabs>
        <w:spacing w:before="120" w:after="120" w:line="360" w:lineRule="exact"/>
        <w:ind w:left="0" w:firstLine="1134"/>
        <w:contextualSpacing w:val="0"/>
        <w:jc w:val="left"/>
        <w:rPr>
          <w:rFonts w:ascii="Arial" w:hAnsi="Arial" w:cs="Arial"/>
          <w:sz w:val="16"/>
          <w:szCs w:val="16"/>
        </w:rPr>
      </w:pPr>
      <w:r>
        <w:rPr>
          <w:rFonts w:ascii="Arial" w:hAnsi="Arial" w:cs="Arial"/>
        </w:rPr>
        <w:t>Secretaría de Estado de Digitalización e Inteligencia Artificial</w:t>
      </w:r>
      <w:r w:rsidR="000917B5">
        <w:rPr>
          <w:rFonts w:ascii="Arial" w:hAnsi="Arial" w:cs="Arial"/>
        </w:rPr>
        <w:t>.</w:t>
      </w:r>
    </w:p>
    <w:sectPr w:rsidR="003C0D63" w:rsidRPr="00E064CB" w:rsidSect="000A0BCA">
      <w:headerReference w:type="default" r:id="rId8"/>
      <w:footerReference w:type="default" r:id="rId9"/>
      <w:pgSz w:w="11906" w:h="16838"/>
      <w:pgMar w:top="1985" w:right="1134" w:bottom="1418" w:left="1985"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2780A" w:rsidRDefault="0022780A" w:rsidP="002B7592">
      <w:r>
        <w:separator/>
      </w:r>
    </w:p>
  </w:endnote>
  <w:endnote w:type="continuationSeparator" w:id="0">
    <w:p w14:paraId="04AA8BD7" w14:textId="77777777" w:rsidR="0022780A" w:rsidRDefault="0022780A" w:rsidP="002B7592">
      <w:r>
        <w:continuationSeparator/>
      </w:r>
    </w:p>
  </w:endnote>
  <w:endnote w:type="continuationNotice" w:id="1">
    <w:p w14:paraId="6E2FEF88" w14:textId="77777777" w:rsidR="0022780A" w:rsidRDefault="0022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2780A" w:rsidRDefault="0022780A" w:rsidP="002B7592">
      <w:r>
        <w:separator/>
      </w:r>
    </w:p>
  </w:footnote>
  <w:footnote w:type="continuationSeparator" w:id="0">
    <w:p w14:paraId="446D44EC" w14:textId="77777777" w:rsidR="0022780A" w:rsidRDefault="0022780A" w:rsidP="002B7592">
      <w:r>
        <w:continuationSeparator/>
      </w:r>
    </w:p>
  </w:footnote>
  <w:footnote w:type="continuationNotice" w:id="1">
    <w:p w14:paraId="445C3D3F" w14:textId="77777777" w:rsidR="0022780A" w:rsidRDefault="002278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D2200"/>
    <w:multiLevelType w:val="hybridMultilevel"/>
    <w:tmpl w:val="4C2485E0"/>
    <w:lvl w:ilvl="0" w:tplc="D3CA9590">
      <w:numFmt w:val="bullet"/>
      <w:lvlText w:val=""/>
      <w:lvlJc w:val="left"/>
      <w:pPr>
        <w:ind w:left="1554" w:hanging="420"/>
      </w:pPr>
      <w:rPr>
        <w:rFonts w:ascii="Symbol" w:eastAsia="Calibri" w:hAnsi="Symbo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1" w15:restartNumberingAfterBreak="0">
    <w:nsid w:val="4F0B26DC"/>
    <w:multiLevelType w:val="hybridMultilevel"/>
    <w:tmpl w:val="6AE8B820"/>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79D6"/>
    <w:rsid w:val="0002754D"/>
    <w:rsid w:val="00042B86"/>
    <w:rsid w:val="00045103"/>
    <w:rsid w:val="00045F17"/>
    <w:rsid w:val="000514C7"/>
    <w:rsid w:val="0005380E"/>
    <w:rsid w:val="0005652A"/>
    <w:rsid w:val="00057171"/>
    <w:rsid w:val="000718DE"/>
    <w:rsid w:val="000765B2"/>
    <w:rsid w:val="00077D19"/>
    <w:rsid w:val="00082871"/>
    <w:rsid w:val="00084912"/>
    <w:rsid w:val="000917B5"/>
    <w:rsid w:val="00093994"/>
    <w:rsid w:val="000951B5"/>
    <w:rsid w:val="000975A3"/>
    <w:rsid w:val="000A0BCA"/>
    <w:rsid w:val="000A25FC"/>
    <w:rsid w:val="000A3569"/>
    <w:rsid w:val="000B1CC3"/>
    <w:rsid w:val="000B78EE"/>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E71"/>
    <w:rsid w:val="00150F25"/>
    <w:rsid w:val="001660CA"/>
    <w:rsid w:val="00170C12"/>
    <w:rsid w:val="00170F9B"/>
    <w:rsid w:val="00171268"/>
    <w:rsid w:val="0017627D"/>
    <w:rsid w:val="0018162F"/>
    <w:rsid w:val="00181A85"/>
    <w:rsid w:val="00182449"/>
    <w:rsid w:val="00184CAB"/>
    <w:rsid w:val="00185325"/>
    <w:rsid w:val="00196FB2"/>
    <w:rsid w:val="001A1D1E"/>
    <w:rsid w:val="001A1FB5"/>
    <w:rsid w:val="001C627C"/>
    <w:rsid w:val="001E27C5"/>
    <w:rsid w:val="001F00B4"/>
    <w:rsid w:val="001F4FD4"/>
    <w:rsid w:val="00205E7B"/>
    <w:rsid w:val="00207DE1"/>
    <w:rsid w:val="0021115C"/>
    <w:rsid w:val="00213AD6"/>
    <w:rsid w:val="00221200"/>
    <w:rsid w:val="0022780A"/>
    <w:rsid w:val="00242BBC"/>
    <w:rsid w:val="002536DE"/>
    <w:rsid w:val="00255DF3"/>
    <w:rsid w:val="00256DDB"/>
    <w:rsid w:val="00261755"/>
    <w:rsid w:val="00262699"/>
    <w:rsid w:val="00276BAA"/>
    <w:rsid w:val="002810C3"/>
    <w:rsid w:val="00281D33"/>
    <w:rsid w:val="00283346"/>
    <w:rsid w:val="00284F5A"/>
    <w:rsid w:val="002917F8"/>
    <w:rsid w:val="002A7CEE"/>
    <w:rsid w:val="002B03A7"/>
    <w:rsid w:val="002B7592"/>
    <w:rsid w:val="002C03F3"/>
    <w:rsid w:val="002C657A"/>
    <w:rsid w:val="002C6677"/>
    <w:rsid w:val="002C6E9F"/>
    <w:rsid w:val="002D0AAF"/>
    <w:rsid w:val="002E554D"/>
    <w:rsid w:val="002E6657"/>
    <w:rsid w:val="002F16F0"/>
    <w:rsid w:val="002F48FD"/>
    <w:rsid w:val="002F5953"/>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81152"/>
    <w:rsid w:val="003A0784"/>
    <w:rsid w:val="003A1EEE"/>
    <w:rsid w:val="003A5628"/>
    <w:rsid w:val="003C0D63"/>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16730"/>
    <w:rsid w:val="0043494C"/>
    <w:rsid w:val="004362A0"/>
    <w:rsid w:val="00436A79"/>
    <w:rsid w:val="004460E9"/>
    <w:rsid w:val="004514E2"/>
    <w:rsid w:val="00453C1E"/>
    <w:rsid w:val="004553EF"/>
    <w:rsid w:val="00461D07"/>
    <w:rsid w:val="00474CE6"/>
    <w:rsid w:val="00481F66"/>
    <w:rsid w:val="004823BC"/>
    <w:rsid w:val="004834AE"/>
    <w:rsid w:val="00485ACC"/>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F7706"/>
    <w:rsid w:val="00504013"/>
    <w:rsid w:val="00506850"/>
    <w:rsid w:val="0050724E"/>
    <w:rsid w:val="005105D6"/>
    <w:rsid w:val="00512BCC"/>
    <w:rsid w:val="00512BE3"/>
    <w:rsid w:val="00523664"/>
    <w:rsid w:val="00523CFA"/>
    <w:rsid w:val="0053117C"/>
    <w:rsid w:val="00533331"/>
    <w:rsid w:val="0054222D"/>
    <w:rsid w:val="00547525"/>
    <w:rsid w:val="0055012C"/>
    <w:rsid w:val="00552D69"/>
    <w:rsid w:val="00556360"/>
    <w:rsid w:val="00557158"/>
    <w:rsid w:val="0055767F"/>
    <w:rsid w:val="00560900"/>
    <w:rsid w:val="00562932"/>
    <w:rsid w:val="00566FEF"/>
    <w:rsid w:val="00571FE9"/>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753E7"/>
    <w:rsid w:val="0068401E"/>
    <w:rsid w:val="00692389"/>
    <w:rsid w:val="00696AF6"/>
    <w:rsid w:val="006C7673"/>
    <w:rsid w:val="006D1133"/>
    <w:rsid w:val="006D51F9"/>
    <w:rsid w:val="006D607D"/>
    <w:rsid w:val="006D62DD"/>
    <w:rsid w:val="006E48B5"/>
    <w:rsid w:val="006F1269"/>
    <w:rsid w:val="006F4EF5"/>
    <w:rsid w:val="006F7143"/>
    <w:rsid w:val="007061EE"/>
    <w:rsid w:val="007167A6"/>
    <w:rsid w:val="00716AAA"/>
    <w:rsid w:val="00720270"/>
    <w:rsid w:val="007337A3"/>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3151E"/>
    <w:rsid w:val="00855DCE"/>
    <w:rsid w:val="00864202"/>
    <w:rsid w:val="00867128"/>
    <w:rsid w:val="0087052F"/>
    <w:rsid w:val="00880BC7"/>
    <w:rsid w:val="0088412C"/>
    <w:rsid w:val="0088416B"/>
    <w:rsid w:val="008935F7"/>
    <w:rsid w:val="00896FD8"/>
    <w:rsid w:val="008A7CB1"/>
    <w:rsid w:val="008B409C"/>
    <w:rsid w:val="008B6465"/>
    <w:rsid w:val="008C0C51"/>
    <w:rsid w:val="008C3785"/>
    <w:rsid w:val="008C6868"/>
    <w:rsid w:val="008C6CE2"/>
    <w:rsid w:val="008D671A"/>
    <w:rsid w:val="008E4B90"/>
    <w:rsid w:val="008F0845"/>
    <w:rsid w:val="008F172E"/>
    <w:rsid w:val="008F6333"/>
    <w:rsid w:val="00904317"/>
    <w:rsid w:val="00906D8D"/>
    <w:rsid w:val="00906F98"/>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0540"/>
    <w:rsid w:val="009A44EF"/>
    <w:rsid w:val="009B6503"/>
    <w:rsid w:val="009C22F5"/>
    <w:rsid w:val="009E5521"/>
    <w:rsid w:val="009F74BE"/>
    <w:rsid w:val="00A01FCB"/>
    <w:rsid w:val="00A03519"/>
    <w:rsid w:val="00A057BE"/>
    <w:rsid w:val="00A135E0"/>
    <w:rsid w:val="00A15E23"/>
    <w:rsid w:val="00A247F6"/>
    <w:rsid w:val="00A41EDC"/>
    <w:rsid w:val="00A4517A"/>
    <w:rsid w:val="00A56A5E"/>
    <w:rsid w:val="00A620C6"/>
    <w:rsid w:val="00A65159"/>
    <w:rsid w:val="00A7103F"/>
    <w:rsid w:val="00A72061"/>
    <w:rsid w:val="00A7303B"/>
    <w:rsid w:val="00A73E1D"/>
    <w:rsid w:val="00A776C1"/>
    <w:rsid w:val="00A825C5"/>
    <w:rsid w:val="00A83507"/>
    <w:rsid w:val="00A933F4"/>
    <w:rsid w:val="00A954FF"/>
    <w:rsid w:val="00A96383"/>
    <w:rsid w:val="00A97709"/>
    <w:rsid w:val="00AA48CA"/>
    <w:rsid w:val="00AB728F"/>
    <w:rsid w:val="00AC315B"/>
    <w:rsid w:val="00AE1073"/>
    <w:rsid w:val="00AE1CA9"/>
    <w:rsid w:val="00B01543"/>
    <w:rsid w:val="00B115E3"/>
    <w:rsid w:val="00B11A28"/>
    <w:rsid w:val="00B132CE"/>
    <w:rsid w:val="00B306E5"/>
    <w:rsid w:val="00B36579"/>
    <w:rsid w:val="00B37B95"/>
    <w:rsid w:val="00B532A1"/>
    <w:rsid w:val="00B55922"/>
    <w:rsid w:val="00B5632F"/>
    <w:rsid w:val="00B626AD"/>
    <w:rsid w:val="00B67276"/>
    <w:rsid w:val="00B92A14"/>
    <w:rsid w:val="00B9689E"/>
    <w:rsid w:val="00BA3F4F"/>
    <w:rsid w:val="00BC47B0"/>
    <w:rsid w:val="00BE12CA"/>
    <w:rsid w:val="00BE1776"/>
    <w:rsid w:val="00BE48EE"/>
    <w:rsid w:val="00BF376A"/>
    <w:rsid w:val="00BF4915"/>
    <w:rsid w:val="00BF54C4"/>
    <w:rsid w:val="00C0338A"/>
    <w:rsid w:val="00C134F0"/>
    <w:rsid w:val="00C21EC5"/>
    <w:rsid w:val="00C22E40"/>
    <w:rsid w:val="00C26612"/>
    <w:rsid w:val="00C26960"/>
    <w:rsid w:val="00C301AC"/>
    <w:rsid w:val="00C31427"/>
    <w:rsid w:val="00C31579"/>
    <w:rsid w:val="00C55D78"/>
    <w:rsid w:val="00C5602B"/>
    <w:rsid w:val="00C70ECC"/>
    <w:rsid w:val="00C85552"/>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5B5"/>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A47F0"/>
    <w:rsid w:val="00DB0E6A"/>
    <w:rsid w:val="00DD2E0F"/>
    <w:rsid w:val="00DD6CBE"/>
    <w:rsid w:val="00DE2A85"/>
    <w:rsid w:val="00DE5206"/>
    <w:rsid w:val="00DE5AAF"/>
    <w:rsid w:val="00DE6C50"/>
    <w:rsid w:val="00DF3CEC"/>
    <w:rsid w:val="00E02B7C"/>
    <w:rsid w:val="00E037E8"/>
    <w:rsid w:val="00E059DE"/>
    <w:rsid w:val="00E064CB"/>
    <w:rsid w:val="00E15B8C"/>
    <w:rsid w:val="00E173FA"/>
    <w:rsid w:val="00E26DC2"/>
    <w:rsid w:val="00E369FE"/>
    <w:rsid w:val="00E564B5"/>
    <w:rsid w:val="00E57113"/>
    <w:rsid w:val="00E63071"/>
    <w:rsid w:val="00E702CA"/>
    <w:rsid w:val="00E72120"/>
    <w:rsid w:val="00E73376"/>
    <w:rsid w:val="00E7584A"/>
    <w:rsid w:val="00E8235B"/>
    <w:rsid w:val="00E85A6E"/>
    <w:rsid w:val="00E86907"/>
    <w:rsid w:val="00E93189"/>
    <w:rsid w:val="00EA6342"/>
    <w:rsid w:val="00EB1862"/>
    <w:rsid w:val="00EB3894"/>
    <w:rsid w:val="00EB4701"/>
    <w:rsid w:val="00EB7CD0"/>
    <w:rsid w:val="00EC0A73"/>
    <w:rsid w:val="00EC1783"/>
    <w:rsid w:val="00ED342F"/>
    <w:rsid w:val="00EE1540"/>
    <w:rsid w:val="00EE7569"/>
    <w:rsid w:val="00EF1F01"/>
    <w:rsid w:val="00F0552E"/>
    <w:rsid w:val="00F121F7"/>
    <w:rsid w:val="00F12E00"/>
    <w:rsid w:val="00F34BB2"/>
    <w:rsid w:val="00F3767D"/>
    <w:rsid w:val="00F4353A"/>
    <w:rsid w:val="00F47E35"/>
    <w:rsid w:val="00F513A1"/>
    <w:rsid w:val="00F52024"/>
    <w:rsid w:val="00F7406E"/>
    <w:rsid w:val="00F7436D"/>
    <w:rsid w:val="00F877FB"/>
    <w:rsid w:val="00FB1C0C"/>
    <w:rsid w:val="00FB6727"/>
    <w:rsid w:val="00FC7E7F"/>
    <w:rsid w:val="00FD01AB"/>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470E811-0644-4F52-9A18-66336BA0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870">
      <w:bodyDiv w:val="1"/>
      <w:marLeft w:val="0"/>
      <w:marRight w:val="0"/>
      <w:marTop w:val="0"/>
      <w:marBottom w:val="0"/>
      <w:divBdr>
        <w:top w:val="none" w:sz="0" w:space="0" w:color="auto"/>
        <w:left w:val="none" w:sz="0" w:space="0" w:color="auto"/>
        <w:bottom w:val="none" w:sz="0" w:space="0" w:color="auto"/>
        <w:right w:val="none" w:sz="0" w:space="0" w:color="auto"/>
      </w:divBdr>
    </w:div>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089815407">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16711542">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883400149">
      <w:bodyDiv w:val="1"/>
      <w:marLeft w:val="0"/>
      <w:marRight w:val="0"/>
      <w:marTop w:val="0"/>
      <w:marBottom w:val="0"/>
      <w:divBdr>
        <w:top w:val="none" w:sz="0" w:space="0" w:color="auto"/>
        <w:left w:val="none" w:sz="0" w:space="0" w:color="auto"/>
        <w:bottom w:val="none" w:sz="0" w:space="0" w:color="auto"/>
        <w:right w:val="none" w:sz="0" w:space="0" w:color="auto"/>
      </w:divBdr>
    </w:div>
    <w:div w:id="1972320182">
      <w:bodyDiv w:val="1"/>
      <w:marLeft w:val="0"/>
      <w:marRight w:val="0"/>
      <w:marTop w:val="0"/>
      <w:marBottom w:val="0"/>
      <w:divBdr>
        <w:top w:val="none" w:sz="0" w:space="0" w:color="auto"/>
        <w:left w:val="none" w:sz="0" w:space="0" w:color="auto"/>
        <w:bottom w:val="none" w:sz="0" w:space="0" w:color="auto"/>
        <w:right w:val="none" w:sz="0" w:space="0" w:color="auto"/>
      </w:divBdr>
    </w:div>
    <w:div w:id="2004043000">
      <w:bodyDiv w:val="1"/>
      <w:marLeft w:val="0"/>
      <w:marRight w:val="0"/>
      <w:marTop w:val="0"/>
      <w:marBottom w:val="0"/>
      <w:divBdr>
        <w:top w:val="none" w:sz="0" w:space="0" w:color="auto"/>
        <w:left w:val="none" w:sz="0" w:space="0" w:color="auto"/>
        <w:bottom w:val="none" w:sz="0" w:space="0" w:color="auto"/>
        <w:right w:val="none" w:sz="0" w:space="0" w:color="auto"/>
      </w:divBdr>
    </w:div>
    <w:div w:id="2035108488">
      <w:bodyDiv w:val="1"/>
      <w:marLeft w:val="0"/>
      <w:marRight w:val="0"/>
      <w:marTop w:val="0"/>
      <w:marBottom w:val="0"/>
      <w:divBdr>
        <w:top w:val="none" w:sz="0" w:space="0" w:color="auto"/>
        <w:left w:val="none" w:sz="0" w:space="0" w:color="auto"/>
        <w:bottom w:val="none" w:sz="0" w:space="0" w:color="auto"/>
        <w:right w:val="none" w:sz="0" w:space="0" w:color="auto"/>
      </w:divBdr>
    </w:div>
    <w:div w:id="2141413486">
      <w:bodyDiv w:val="1"/>
      <w:marLeft w:val="0"/>
      <w:marRight w:val="0"/>
      <w:marTop w:val="0"/>
      <w:marBottom w:val="0"/>
      <w:divBdr>
        <w:top w:val="none" w:sz="0" w:space="0" w:color="auto"/>
        <w:left w:val="none" w:sz="0" w:space="0" w:color="auto"/>
        <w:bottom w:val="none" w:sz="0" w:space="0" w:color="auto"/>
        <w:right w:val="none" w:sz="0" w:space="0" w:color="auto"/>
      </w:divBdr>
    </w:div>
    <w:div w:id="2142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F8666-F99B-4A97-943A-EECB45E8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1700</Words>
  <Characters>9356</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13</cp:revision>
  <cp:lastPrinted>2020-01-31T09:46:00Z</cp:lastPrinted>
  <dcterms:created xsi:type="dcterms:W3CDTF">2021-07-02T11:39:00Z</dcterms:created>
  <dcterms:modified xsi:type="dcterms:W3CDTF">2022-06-13T11:17:00Z</dcterms:modified>
</cp:coreProperties>
</file>